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4F" w:rsidRDefault="0002524F" w:rsidP="0002524F">
      <w:pPr>
        <w:pStyle w:val="Nadpis1"/>
        <w:tabs>
          <w:tab w:val="left" w:pos="1782"/>
        </w:tabs>
        <w:spacing w:before="101"/>
        <w:ind w:left="1386"/>
        <w:rPr>
          <w:rFonts w:ascii="Times New Roman" w:hAnsi="Times New Roman"/>
        </w:rPr>
      </w:pPr>
      <w:r>
        <w:rPr>
          <w:rFonts w:ascii="Times New Roman" w:hAnsi="Times New Roman"/>
          <w:u w:val="thick"/>
        </w:rPr>
        <w:t xml:space="preserve">1 </w:t>
      </w:r>
      <w:bookmarkStart w:id="0" w:name="_GoBack"/>
      <w:bookmarkEnd w:id="0"/>
      <w:r>
        <w:rPr>
          <w:rFonts w:ascii="Times New Roman" w:hAnsi="Times New Roman"/>
          <w:u w:val="thick"/>
        </w:rPr>
        <w:t>VŠEOBECNÁ</w:t>
      </w:r>
      <w:r>
        <w:rPr>
          <w:rFonts w:ascii="Times New Roman" w:hAnsi="Times New Roman"/>
          <w:spacing w:val="-2"/>
          <w:u w:val="thick"/>
        </w:rPr>
        <w:t xml:space="preserve"> </w:t>
      </w:r>
      <w:r>
        <w:rPr>
          <w:rFonts w:ascii="Times New Roman" w:hAnsi="Times New Roman"/>
          <w:u w:val="thick"/>
        </w:rPr>
        <w:t>USTANOVENÍ:</w:t>
      </w:r>
    </w:p>
    <w:p w:rsidR="0002524F" w:rsidRDefault="0002524F" w:rsidP="0002524F">
      <w:pPr>
        <w:pStyle w:val="Zkladntext"/>
        <w:spacing w:before="160"/>
        <w:ind w:left="1245" w:right="832"/>
        <w:jc w:val="both"/>
      </w:pPr>
      <w:r>
        <w:t>Zkouškové akce a závody mají splňovat dva cíle. Na straně jedné složením zkoušky prokazují jednotliví psi způsobilost pro účel svého použití a na straně druhé by zkoušky v pracovním chovu měly přispět ke zdraví a výkonnosti psů ve smyslu zachování případně vylepšování pracovních schopností z generace na generaci. Vzdáleně taktéž slouží ke zvyšování a zachování zdraví a kondice. Složení zkoušky platí také jako důkaz chovné způsobilosti psa.</w:t>
      </w:r>
    </w:p>
    <w:p w:rsidR="0002524F" w:rsidRDefault="0002524F" w:rsidP="0002524F">
      <w:pPr>
        <w:pStyle w:val="Zkladntext"/>
        <w:ind w:right="831"/>
        <w:rPr>
          <w:b/>
        </w:rPr>
      </w:pPr>
      <w:r>
        <w:t xml:space="preserve">Všechny zkouškové akce a soutěže ve vztahu ke svému provádění i chování účastníků podléhají všeobecným sportovním zásadám. Obsah zkušebního řádu je pro všechny účastníky závazný. Všichni účastníci musí plnit stejné výkonnostní podmínky. Výcvikové akce jsou veřejně přístupné, místo a začátek musejí být veřejně oznamovány. Zkouškové akce a soutěže musí odpovídat úplným stupňům zkoušek nebo úplným oddílům příslušných zkouškových stupňů. Jen kompletní stupeň zkoušky, složeny v rámci takovéto akce, platí jako výcviková značka. Výcvikové značky uznávají všechny členské státy FCI. </w:t>
      </w:r>
      <w:r>
        <w:rPr>
          <w:b/>
        </w:rPr>
        <w:t>V zemích, kde je ze zákona zakázáno testovat psy údery obuškem, může být tento zkušení řád upraven a dané cviky lze provádět bez úderů.</w:t>
      </w:r>
    </w:p>
    <w:p w:rsidR="0002524F" w:rsidRDefault="0002524F" w:rsidP="0002524F">
      <w:pPr>
        <w:pStyle w:val="Zkladntext"/>
        <w:spacing w:before="6"/>
        <w:ind w:left="0"/>
        <w:rPr>
          <w:b/>
          <w:sz w:val="25"/>
        </w:rPr>
      </w:pPr>
    </w:p>
    <w:p w:rsidR="0002524F" w:rsidRDefault="0002524F" w:rsidP="0002524F">
      <w:pPr>
        <w:pStyle w:val="Zkladntext"/>
        <w:ind w:right="829"/>
        <w:jc w:val="both"/>
      </w:pPr>
      <w:r>
        <w:t>Zkouškové akce se konají dle pokynů, které vydává ČKS a MSKS. Tyto pokyny stanovují termíny i obsah žádostí o konání, změnách, zrušení nebo přeložení zkouškových akcí, jakož i dokumenty, které se při hlášení, průběhu a ukončení akcí zpracovávají. Rovněž tak provádí delegaci rozhodčích. Při delegaci více rozhodčích je jeden určen jako hlavní. Pořadatelem akce může být pouze právní subjekt, začleněný do ČKS nebo MSKS (ZKO, KK, chovatelský klub), který akci organizuje a</w:t>
      </w:r>
      <w:r>
        <w:rPr>
          <w:spacing w:val="-12"/>
        </w:rPr>
        <w:t xml:space="preserve"> </w:t>
      </w:r>
      <w:r>
        <w:t>zajišťuje.</w:t>
      </w:r>
    </w:p>
    <w:p w:rsidR="0002524F" w:rsidRDefault="0002524F" w:rsidP="0002524F">
      <w:pPr>
        <w:pStyle w:val="Zkladntext"/>
        <w:spacing w:line="252" w:lineRule="exact"/>
      </w:pPr>
      <w:r>
        <w:t>Akcí se mohou zúčastnit psovodi:</w:t>
      </w:r>
    </w:p>
    <w:p w:rsidR="0002524F" w:rsidRDefault="0002524F" w:rsidP="0002524F">
      <w:pPr>
        <w:pStyle w:val="Zkladntext"/>
        <w:spacing w:before="1" w:line="252" w:lineRule="exact"/>
      </w:pPr>
      <w:r>
        <w:t>a)občané ČR – členové organizací a svazů začleněných do ČMKU</w:t>
      </w:r>
    </w:p>
    <w:p w:rsidR="0002524F" w:rsidRDefault="0002524F" w:rsidP="0002524F">
      <w:pPr>
        <w:pStyle w:val="Zkladntext"/>
        <w:ind w:right="840"/>
      </w:pPr>
      <w:r>
        <w:t>b)občané jiných států – členové zahraničních organizací a svazů začleněných do FCI. Členství nutno prokázat před zahájením akce platným členským průkazem. Za účast na akci vybírá pořadatel na úhradu nákladů startovné, jehož výši sám stanoví.</w:t>
      </w:r>
    </w:p>
    <w:p w:rsidR="0002524F" w:rsidRDefault="0002524F" w:rsidP="0002524F">
      <w:pPr>
        <w:pStyle w:val="Zkladntext"/>
        <w:spacing w:before="10"/>
        <w:ind w:left="0"/>
        <w:rPr>
          <w:sz w:val="23"/>
        </w:rPr>
      </w:pPr>
    </w:p>
    <w:p w:rsidR="0002524F" w:rsidRDefault="0002524F" w:rsidP="0002524F">
      <w:pPr>
        <w:pStyle w:val="Nadpis2"/>
        <w:numPr>
          <w:ilvl w:val="1"/>
          <w:numId w:val="7"/>
        </w:numPr>
        <w:tabs>
          <w:tab w:val="left" w:pos="1869"/>
          <w:tab w:val="left" w:pos="1870"/>
        </w:tabs>
        <w:rPr>
          <w:u w:val="none"/>
        </w:rPr>
      </w:pPr>
      <w:bookmarkStart w:id="1" w:name="_bookmark1"/>
      <w:bookmarkEnd w:id="1"/>
      <w:r>
        <w:rPr>
          <w:u w:val="thick"/>
        </w:rPr>
        <w:t>Zkouškové</w:t>
      </w:r>
      <w:r>
        <w:rPr>
          <w:spacing w:val="-1"/>
          <w:u w:val="thick"/>
        </w:rPr>
        <w:t xml:space="preserve"> </w:t>
      </w:r>
      <w:r>
        <w:rPr>
          <w:u w:val="thick"/>
        </w:rPr>
        <w:t>období</w:t>
      </w:r>
      <w:r>
        <w:rPr>
          <w:u w:val="none"/>
        </w:rPr>
        <w:t>:</w:t>
      </w:r>
    </w:p>
    <w:p w:rsidR="0002524F" w:rsidRDefault="0002524F" w:rsidP="0002524F">
      <w:pPr>
        <w:pStyle w:val="Zkladntext"/>
        <w:spacing w:before="136"/>
        <w:ind w:left="1245" w:right="834"/>
        <w:jc w:val="both"/>
      </w:pPr>
      <w:r>
        <w:t>Zkouškové období trvá od března do konce listopadu, pokud to dovolují povětrnostní podmínky a není ohrožena bezpečnost a zdraví lidí a zvířat. Jinak musí být akce odložena. Rozhodnutí o tom přísluší</w:t>
      </w:r>
      <w:r>
        <w:rPr>
          <w:spacing w:val="-6"/>
        </w:rPr>
        <w:t xml:space="preserve"> </w:t>
      </w:r>
      <w:r>
        <w:t>rozhodčímu.</w:t>
      </w:r>
    </w:p>
    <w:p w:rsidR="0002524F" w:rsidRDefault="0002524F" w:rsidP="0002524F">
      <w:pPr>
        <w:pStyle w:val="Zkladntext"/>
        <w:spacing w:before="10"/>
        <w:ind w:left="0"/>
        <w:rPr>
          <w:sz w:val="23"/>
        </w:rPr>
      </w:pPr>
    </w:p>
    <w:p w:rsidR="0002524F" w:rsidRDefault="0002524F" w:rsidP="0002524F">
      <w:pPr>
        <w:pStyle w:val="Nadpis2"/>
        <w:numPr>
          <w:ilvl w:val="1"/>
          <w:numId w:val="7"/>
        </w:numPr>
        <w:tabs>
          <w:tab w:val="left" w:pos="1869"/>
          <w:tab w:val="left" w:pos="1870"/>
        </w:tabs>
        <w:rPr>
          <w:sz w:val="22"/>
          <w:u w:val="none"/>
        </w:rPr>
      </w:pPr>
      <w:bookmarkStart w:id="2" w:name="_bookmark2"/>
      <w:bookmarkEnd w:id="2"/>
      <w:r>
        <w:rPr>
          <w:u w:val="thick"/>
        </w:rPr>
        <w:t>Zkouškové</w:t>
      </w:r>
      <w:r>
        <w:rPr>
          <w:spacing w:val="-2"/>
          <w:u w:val="thick"/>
        </w:rPr>
        <w:t xml:space="preserve"> </w:t>
      </w:r>
      <w:r>
        <w:rPr>
          <w:u w:val="thick"/>
        </w:rPr>
        <w:t>dny</w:t>
      </w:r>
      <w:r>
        <w:rPr>
          <w:sz w:val="22"/>
          <w:u w:val="thick"/>
        </w:rPr>
        <w:t>:</w:t>
      </w:r>
    </w:p>
    <w:p w:rsidR="0002524F" w:rsidRDefault="0002524F" w:rsidP="0002524F">
      <w:pPr>
        <w:pStyle w:val="Zkladntext"/>
        <w:spacing w:before="138"/>
        <w:ind w:right="836"/>
        <w:jc w:val="both"/>
      </w:pPr>
      <w:r>
        <w:t>Za zkouškové dny se považuje pátek, sobota, neděle a státní svátky. Výjimkou jsou akce pořádané na letních výcvikových táborech, které lze provádět i ve všední dny v období od 15.6.do 15.9. Mezi skládáním zkoušek BH-VT a IGP-1 či IFH1 není žádná čekací lhůta.</w:t>
      </w:r>
    </w:p>
    <w:p w:rsidR="0002524F" w:rsidRDefault="0002524F" w:rsidP="0002524F">
      <w:pPr>
        <w:pStyle w:val="Zkladntext"/>
        <w:ind w:right="2970"/>
      </w:pPr>
      <w:r>
        <w:t>Např. s jedním psem lze vykonat v pátek BH-VT, v sobotu IGP-1 a v neděli IGP-2.</w:t>
      </w:r>
    </w:p>
    <w:p w:rsidR="0002524F" w:rsidRDefault="0002524F" w:rsidP="0002524F">
      <w:pPr>
        <w:pStyle w:val="Zkladntext"/>
      </w:pPr>
      <w:r>
        <w:t>Na jeden zkouškový den je stanoven minimální počet 5 psů.</w:t>
      </w:r>
    </w:p>
    <w:p w:rsidR="0002524F" w:rsidRDefault="0002524F" w:rsidP="0002524F">
      <w:pPr>
        <w:pStyle w:val="Zkladntext"/>
        <w:spacing w:before="1"/>
        <w:ind w:left="0"/>
      </w:pPr>
    </w:p>
    <w:p w:rsidR="0002524F" w:rsidRDefault="0002524F" w:rsidP="0002524F">
      <w:pPr>
        <w:pStyle w:val="Nadpis2"/>
        <w:numPr>
          <w:ilvl w:val="1"/>
          <w:numId w:val="7"/>
        </w:numPr>
        <w:tabs>
          <w:tab w:val="left" w:pos="1869"/>
          <w:tab w:val="left" w:pos="1870"/>
        </w:tabs>
        <w:rPr>
          <w:u w:val="none"/>
        </w:rPr>
      </w:pPr>
      <w:bookmarkStart w:id="3" w:name="_bookmark3"/>
      <w:bookmarkEnd w:id="3"/>
      <w:r>
        <w:rPr>
          <w:u w:val="thick"/>
        </w:rPr>
        <w:t>Organizace zkoušek / Vedoucí zkoušek</w:t>
      </w:r>
      <w:r>
        <w:rPr>
          <w:spacing w:val="-2"/>
          <w:u w:val="thick"/>
        </w:rPr>
        <w:t xml:space="preserve"> </w:t>
      </w:r>
      <w:r>
        <w:rPr>
          <w:u w:val="thick"/>
        </w:rPr>
        <w:t>(VZK):</w:t>
      </w:r>
    </w:p>
    <w:p w:rsidR="0002524F" w:rsidRDefault="0002524F" w:rsidP="0002524F">
      <w:pPr>
        <w:pStyle w:val="Zkladntext"/>
        <w:spacing w:before="136"/>
        <w:ind w:right="834"/>
        <w:jc w:val="both"/>
      </w:pPr>
      <w:r>
        <w:t>Vedoucí zkoušek je zodpovědný za organizační část akce, stejně jako za zajištění pořádku a bezpečnosti v celém prostoru konání akce. Vedoucí zkoušek musí být členem pořádající organizace a osoba plnoletá. Zařizuje a kontroluje všechny potřebné práce spojené s přípravou a provedením zkouškové akce. Musí zabezpečit řádný průběh akce a po celou dobu být k dispozici</w:t>
      </w:r>
      <w:r>
        <w:rPr>
          <w:spacing w:val="-2"/>
        </w:rPr>
        <w:t xml:space="preserve"> </w:t>
      </w:r>
      <w:r>
        <w:t>rozhodčímu.</w:t>
      </w:r>
    </w:p>
    <w:p w:rsidR="0002524F" w:rsidRDefault="0002524F" w:rsidP="0002524F">
      <w:pPr>
        <w:pStyle w:val="Zkladntext"/>
        <w:ind w:right="1240"/>
      </w:pPr>
      <w:r>
        <w:t>Z tohoto důvodu nesmí na akci předvádět žádného psa, ani plnit jiné funkce. K jeho povinnostem náleží zejména:</w:t>
      </w:r>
    </w:p>
    <w:p w:rsidR="0002524F" w:rsidRDefault="0002524F" w:rsidP="0002524F">
      <w:pPr>
        <w:sectPr w:rsidR="0002524F">
          <w:pgSz w:w="11910" w:h="16840"/>
          <w:pgMar w:top="1580" w:right="300" w:bottom="1520" w:left="740" w:header="0" w:footer="1265" w:gutter="0"/>
          <w:cols w:space="708"/>
        </w:sectPr>
      </w:pPr>
    </w:p>
    <w:p w:rsidR="0002524F" w:rsidRDefault="0002524F" w:rsidP="0002524F">
      <w:pPr>
        <w:pStyle w:val="Zkladntext"/>
        <w:ind w:left="0"/>
        <w:rPr>
          <w:sz w:val="20"/>
        </w:rPr>
      </w:pPr>
    </w:p>
    <w:p w:rsidR="0002524F" w:rsidRDefault="0002524F" w:rsidP="0002524F">
      <w:pPr>
        <w:pStyle w:val="Zkladntext"/>
        <w:spacing w:before="2"/>
        <w:ind w:left="0"/>
        <w:rPr>
          <w:sz w:val="28"/>
        </w:rPr>
      </w:pPr>
    </w:p>
    <w:p w:rsidR="0002524F" w:rsidRDefault="0002524F" w:rsidP="0002524F">
      <w:pPr>
        <w:pStyle w:val="Odstavecseseznamem"/>
        <w:numPr>
          <w:ilvl w:val="0"/>
          <w:numId w:val="6"/>
        </w:numPr>
        <w:tabs>
          <w:tab w:val="left" w:pos="1405"/>
          <w:tab w:val="left" w:pos="1406"/>
        </w:tabs>
        <w:spacing w:before="94"/>
      </w:pPr>
      <w:r>
        <w:t>Zajištění delegace rozhodčího na</w:t>
      </w:r>
      <w:r>
        <w:rPr>
          <w:spacing w:val="-6"/>
        </w:rPr>
        <w:t xml:space="preserve"> </w:t>
      </w:r>
      <w:r>
        <w:t>akci.</w:t>
      </w:r>
    </w:p>
    <w:p w:rsidR="0002524F" w:rsidRDefault="0002524F" w:rsidP="0002524F">
      <w:pPr>
        <w:pStyle w:val="Odstavecseseznamem"/>
        <w:numPr>
          <w:ilvl w:val="0"/>
          <w:numId w:val="6"/>
        </w:numPr>
        <w:tabs>
          <w:tab w:val="left" w:pos="1405"/>
          <w:tab w:val="left" w:pos="1406"/>
        </w:tabs>
        <w:spacing w:before="11" w:line="247" w:lineRule="auto"/>
        <w:ind w:right="837"/>
      </w:pPr>
      <w:r>
        <w:t>Zajištění terénů pro kladení stop pro všechny stupně zkoušek v souladu se zkušebním řádem.</w:t>
      </w:r>
    </w:p>
    <w:p w:rsidR="0002524F" w:rsidRDefault="0002524F" w:rsidP="0002524F">
      <w:pPr>
        <w:pStyle w:val="Odstavecseseznamem"/>
        <w:numPr>
          <w:ilvl w:val="0"/>
          <w:numId w:val="6"/>
        </w:numPr>
        <w:tabs>
          <w:tab w:val="left" w:pos="1405"/>
          <w:tab w:val="left" w:pos="1406"/>
        </w:tabs>
        <w:spacing w:before="2"/>
      </w:pPr>
      <w:r>
        <w:t>Příprava pomůcek a potřeb v souladu se zkušebním</w:t>
      </w:r>
      <w:r>
        <w:rPr>
          <w:spacing w:val="-3"/>
        </w:rPr>
        <w:t xml:space="preserve"> </w:t>
      </w:r>
      <w:r>
        <w:t>řádem.</w:t>
      </w:r>
    </w:p>
    <w:p w:rsidR="0002524F" w:rsidRDefault="0002524F" w:rsidP="0002524F">
      <w:pPr>
        <w:pStyle w:val="Odstavecseseznamem"/>
        <w:numPr>
          <w:ilvl w:val="0"/>
          <w:numId w:val="6"/>
        </w:numPr>
        <w:tabs>
          <w:tab w:val="left" w:pos="1405"/>
          <w:tab w:val="left" w:pos="1406"/>
        </w:tabs>
        <w:spacing w:before="11" w:line="247" w:lineRule="auto"/>
        <w:ind w:right="832"/>
      </w:pPr>
      <w:r>
        <w:t>Zajištění dohody s vlastníky pozemků pro kladení stop a s příslušnými mysliveckými spolky.</w:t>
      </w:r>
    </w:p>
    <w:p w:rsidR="0002524F" w:rsidRDefault="0002524F" w:rsidP="0002524F">
      <w:pPr>
        <w:pStyle w:val="Odstavecseseznamem"/>
        <w:numPr>
          <w:ilvl w:val="0"/>
          <w:numId w:val="6"/>
        </w:numPr>
        <w:tabs>
          <w:tab w:val="left" w:pos="1405"/>
          <w:tab w:val="left" w:pos="1406"/>
        </w:tabs>
        <w:spacing w:before="2" w:line="247" w:lineRule="auto"/>
        <w:ind w:right="837"/>
      </w:pPr>
      <w:r>
        <w:t>Příprava písemných podkladů pro všechny stupně zkoušek, jako jsou potvrzení o vykonaných zkouškách a výsledková</w:t>
      </w:r>
      <w:r>
        <w:rPr>
          <w:spacing w:val="-5"/>
        </w:rPr>
        <w:t xml:space="preserve"> </w:t>
      </w:r>
      <w:r>
        <w:t>listina.</w:t>
      </w:r>
    </w:p>
    <w:p w:rsidR="0002524F" w:rsidRDefault="0002524F" w:rsidP="0002524F">
      <w:pPr>
        <w:pStyle w:val="Odstavecseseznamem"/>
        <w:numPr>
          <w:ilvl w:val="0"/>
          <w:numId w:val="6"/>
        </w:numPr>
        <w:tabs>
          <w:tab w:val="left" w:pos="1405"/>
          <w:tab w:val="left" w:pos="1406"/>
        </w:tabs>
        <w:spacing w:before="5"/>
      </w:pPr>
      <w:r>
        <w:t>Zajištění odborných pomocníků, jako např. figurantů, kladečů stop, osob do skupiny</w:t>
      </w:r>
      <w:r>
        <w:rPr>
          <w:spacing w:val="-28"/>
        </w:rPr>
        <w:t xml:space="preserve"> </w:t>
      </w:r>
      <w:r>
        <w:t>atd.</w:t>
      </w:r>
    </w:p>
    <w:p w:rsidR="0002524F" w:rsidRDefault="0002524F" w:rsidP="0002524F">
      <w:pPr>
        <w:pStyle w:val="Odstavecseseznamem"/>
        <w:numPr>
          <w:ilvl w:val="0"/>
          <w:numId w:val="6"/>
        </w:numPr>
        <w:tabs>
          <w:tab w:val="left" w:pos="1405"/>
          <w:tab w:val="left" w:pos="1406"/>
        </w:tabs>
        <w:spacing w:before="8" w:line="247" w:lineRule="auto"/>
        <w:ind w:right="834"/>
      </w:pPr>
      <w:r>
        <w:rPr>
          <w:spacing w:val="-2"/>
        </w:rPr>
        <w:t xml:space="preserve">Mít </w:t>
      </w:r>
      <w:r>
        <w:t>k dispozici členské průkazy, výkonnostní průkazy, průkazy původu a očkovací průkazy.</w:t>
      </w:r>
    </w:p>
    <w:p w:rsidR="0002524F" w:rsidRDefault="0002524F" w:rsidP="0002524F">
      <w:pPr>
        <w:pStyle w:val="Zkladntext"/>
        <w:spacing w:before="3"/>
        <w:ind w:right="835"/>
        <w:jc w:val="both"/>
      </w:pPr>
      <w:r>
        <w:t>Vedoucí zkoušek musí minimálně tři týdny před pořádáním zkoušek sdělit rozhodčímu místo a čas zahájení akce, popis příjezdu, druhy pořádaných zkoušek a počet přihlášených psů. Opomene-li to, má rozhodčí právo vyvázat se ze svých povinností.</w:t>
      </w:r>
    </w:p>
    <w:p w:rsidR="0002524F" w:rsidRDefault="0002524F" w:rsidP="0002524F">
      <w:pPr>
        <w:pStyle w:val="Zkladntext"/>
        <w:jc w:val="both"/>
      </w:pPr>
      <w:r>
        <w:t>Povolení o konání akce musí být předloženo rozhodčímu (R) před zahájením zkoušek.</w:t>
      </w:r>
    </w:p>
    <w:p w:rsidR="0002524F" w:rsidRDefault="0002524F" w:rsidP="0002524F">
      <w:pPr>
        <w:pStyle w:val="Zkladntext"/>
        <w:spacing w:before="1"/>
        <w:ind w:left="0"/>
      </w:pPr>
    </w:p>
    <w:p w:rsidR="0002524F" w:rsidRDefault="0002524F" w:rsidP="0002524F">
      <w:pPr>
        <w:pStyle w:val="Nadpis2"/>
        <w:numPr>
          <w:ilvl w:val="1"/>
          <w:numId w:val="7"/>
        </w:numPr>
        <w:tabs>
          <w:tab w:val="left" w:pos="1870"/>
        </w:tabs>
        <w:spacing w:before="1"/>
        <w:jc w:val="both"/>
        <w:rPr>
          <w:u w:val="none"/>
        </w:rPr>
      </w:pPr>
      <w:bookmarkStart w:id="4" w:name="_bookmark4"/>
      <w:bookmarkEnd w:id="4"/>
      <w:r>
        <w:rPr>
          <w:u w:val="thick"/>
        </w:rPr>
        <w:t>Dozor / Sportovní</w:t>
      </w:r>
      <w:r>
        <w:rPr>
          <w:spacing w:val="-2"/>
          <w:u w:val="thick"/>
        </w:rPr>
        <w:t xml:space="preserve"> </w:t>
      </w:r>
      <w:r>
        <w:rPr>
          <w:u w:val="thick"/>
        </w:rPr>
        <w:t>komisař:</w:t>
      </w:r>
    </w:p>
    <w:p w:rsidR="0002524F" w:rsidRDefault="0002524F" w:rsidP="0002524F">
      <w:pPr>
        <w:pStyle w:val="Zkladntext"/>
        <w:spacing w:before="135"/>
        <w:ind w:right="834"/>
        <w:jc w:val="both"/>
      </w:pPr>
      <w:r>
        <w:t>Národní svazy FCI (NS) jsou oprávněny provádět nad akcemi dozor. Dle tohoto ustanovení smí odborně způsobilá osoba (sportovní komisař) pověřená delegujícím orgánem kontrolovat řádný průběh zkoušek/soutěže, aby zajistila, že akce bude prováděna v souladu se zkušebním řádem FCI IGP 2019.</w:t>
      </w:r>
    </w:p>
    <w:p w:rsidR="0002524F" w:rsidRDefault="0002524F" w:rsidP="0002524F">
      <w:pPr>
        <w:pStyle w:val="Zkladntext"/>
        <w:ind w:left="0"/>
        <w:rPr>
          <w:sz w:val="24"/>
        </w:rPr>
      </w:pPr>
    </w:p>
    <w:p w:rsidR="0002524F" w:rsidRDefault="0002524F" w:rsidP="0002524F">
      <w:pPr>
        <w:pStyle w:val="Nadpis2"/>
        <w:numPr>
          <w:ilvl w:val="1"/>
          <w:numId w:val="7"/>
        </w:numPr>
        <w:tabs>
          <w:tab w:val="left" w:pos="1870"/>
        </w:tabs>
        <w:jc w:val="both"/>
        <w:rPr>
          <w:u w:val="none"/>
        </w:rPr>
      </w:pPr>
      <w:bookmarkStart w:id="5" w:name="_bookmark5"/>
      <w:bookmarkEnd w:id="5"/>
      <w:r>
        <w:rPr>
          <w:u w:val="thick"/>
        </w:rPr>
        <w:t>Rozhodčí</w:t>
      </w:r>
      <w:r>
        <w:rPr>
          <w:spacing w:val="-1"/>
          <w:u w:val="thick"/>
        </w:rPr>
        <w:t xml:space="preserve"> </w:t>
      </w:r>
      <w:r>
        <w:rPr>
          <w:u w:val="thick"/>
        </w:rPr>
        <w:t>(R)</w:t>
      </w:r>
    </w:p>
    <w:p w:rsidR="0002524F" w:rsidRDefault="0002524F" w:rsidP="0002524F">
      <w:pPr>
        <w:pStyle w:val="Zkladntext"/>
        <w:spacing w:before="135"/>
        <w:ind w:right="834"/>
        <w:jc w:val="both"/>
      </w:pPr>
      <w:r>
        <w:t>Zkouškové akce mohou posuzovat pouze rozhodčí, kteří jsou svým národním svazem zmocněni k posuzování mezinárodních zkoušek. Pro mistrovství světa jsou rozhodčí zajišťováni výcvikovou komisí FCI. Počet vyžádaných rozhodčích je ponechán na pořadateli akce s tím, že jeden rozhodčí smí v jeden den posoudit nanejvýš 30 oddílů (neplatí pro mistrovství).</w:t>
      </w:r>
    </w:p>
    <w:p w:rsidR="0002524F" w:rsidRDefault="0002524F" w:rsidP="0002524F">
      <w:pPr>
        <w:pStyle w:val="Zkladntext"/>
        <w:ind w:right="835"/>
        <w:jc w:val="both"/>
      </w:pPr>
      <w:r>
        <w:t>Rozhodčí nesmí posuzovat psy ve svém vlastnictví, majetku nebo psy, jejichž je držitelem. Rozhodčí nesmí na akci, kterou sám posuzuje, vést žádného</w:t>
      </w:r>
      <w:r>
        <w:rPr>
          <w:spacing w:val="-16"/>
        </w:rPr>
        <w:t xml:space="preserve"> </w:t>
      </w:r>
      <w:r>
        <w:t>psa.</w:t>
      </w:r>
    </w:p>
    <w:p w:rsidR="0002524F" w:rsidRDefault="0002524F" w:rsidP="0002524F">
      <w:pPr>
        <w:pStyle w:val="Zkladntext"/>
        <w:spacing w:before="10"/>
        <w:ind w:left="0"/>
        <w:rPr>
          <w:sz w:val="23"/>
        </w:rPr>
      </w:pPr>
    </w:p>
    <w:p w:rsidR="0002524F" w:rsidRDefault="0002524F" w:rsidP="0002524F">
      <w:pPr>
        <w:pStyle w:val="Zkladntext"/>
        <w:ind w:right="830"/>
        <w:jc w:val="both"/>
      </w:pPr>
      <w:r>
        <w:t>Rozhodčí nesmí svým chováním narušovat či dokonce ovlivňovat práci psa. Rozhodčí zodpovídá za přesné dodržování ustanovení platného zkušebního řádu. Je oprávněn zkoušku ukončit či nezahájit, není-li dodržován zkušební řád (odpovídající cvičební prostory, nářadí, pomůcky, pomocníci atd.) či nejsou-li dodržovány jeho pokyny. V takových případech je rozhodčí povinen podat písemnou zprávu delegujícímu orgánu.</w:t>
      </w:r>
    </w:p>
    <w:p w:rsidR="0002524F" w:rsidRDefault="0002524F" w:rsidP="0002524F">
      <w:pPr>
        <w:pStyle w:val="Zkladntext"/>
        <w:ind w:right="830"/>
        <w:jc w:val="both"/>
      </w:pPr>
      <w:r>
        <w:t>Při nesportovním chování, používání motivačních prostředků, porušení zkušebního řádu, porušení směrnic, porušení zákona na ochranu zvířat či porušení dobrých mravů, je rozhodčí oprávněn psovoda diskvalifikovat a vyloučit z akce. Předčasné ukončení zkoušky se v každém případě zapisuje spolu s odůvodněním do výkonnostního průkazu. Při diskvalifikaci se psovodovi odejmou všechny získané body. Je třeba respektovat srážky bodů předepsané ve zkušebním řádu. Pomoc poskytovanou psovi psovodem musí rozhodčí rozpoznat a ohodnotit srážkou bodů. Rozhodnutí rozhodčího je konečné a nenapadnutelné. Jakákoli kritika jeho posudku může mít za následek vykázání z prostoru kynologické akce, případně disciplinární řízení. V odůvodněných případech, které se netýkají vlastního posudku, ale porušení pravidel rozhodčím, je možno podat na jeho chování protest. Tento protest musí být rozhodčím projednán v průběhu akce. Pokud nedojde ke shodě je předán prostřednictvím vedoucího zkoušek pořadatelské</w:t>
      </w:r>
      <w:r>
        <w:rPr>
          <w:spacing w:val="53"/>
        </w:rPr>
        <w:t xml:space="preserve"> </w:t>
      </w:r>
      <w:r>
        <w:t>organizace</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pStyle w:val="Zkladntext"/>
        <w:spacing w:before="101"/>
        <w:ind w:right="834"/>
        <w:jc w:val="both"/>
      </w:pPr>
      <w:r>
        <w:lastRenderedPageBreak/>
        <w:t>delegujícímu orgánu (je spolupodepsána rozhodčím, vedoucím akce, stěžovatelem a popř.</w:t>
      </w:r>
      <w:r>
        <w:rPr>
          <w:spacing w:val="-1"/>
        </w:rPr>
        <w:t xml:space="preserve"> </w:t>
      </w:r>
      <w:r>
        <w:t>svědky).</w:t>
      </w:r>
    </w:p>
    <w:p w:rsidR="0002524F" w:rsidRDefault="0002524F" w:rsidP="0002524F">
      <w:pPr>
        <w:pStyle w:val="Zkladntext"/>
        <w:ind w:right="834"/>
        <w:jc w:val="both"/>
      </w:pPr>
      <w:r>
        <w:t>Z přijetí protestu nevyplývá nárok na zrevidování hodnocení rozhodčího. Konečné rozhodnutí přísluší delegujícímu orgánu. Rovněž tak lze do 8 dnů podat na počínání rozhodčího písemnou</w:t>
      </w:r>
      <w:r>
        <w:rPr>
          <w:spacing w:val="-1"/>
        </w:rPr>
        <w:t xml:space="preserve"> </w:t>
      </w:r>
      <w:r>
        <w:t>stížnost.</w:t>
      </w:r>
    </w:p>
    <w:p w:rsidR="0002524F" w:rsidRDefault="0002524F" w:rsidP="0002524F">
      <w:pPr>
        <w:pStyle w:val="Zkladntext"/>
        <w:ind w:right="834"/>
        <w:jc w:val="both"/>
      </w:pPr>
      <w:r>
        <w:t>Rozhodčí je oprávněn při nezajištění pořádku a bezpečnosti v celém prostoru konání akce tuto akci přerušit nebo</w:t>
      </w:r>
      <w:r>
        <w:rPr>
          <w:spacing w:val="-6"/>
        </w:rPr>
        <w:t xml:space="preserve"> </w:t>
      </w:r>
      <w:r>
        <w:t>ukončit.</w:t>
      </w:r>
    </w:p>
    <w:p w:rsidR="0002524F" w:rsidRDefault="0002524F" w:rsidP="0002524F">
      <w:pPr>
        <w:pStyle w:val="Zkladntext"/>
        <w:spacing w:before="8"/>
        <w:ind w:left="0"/>
        <w:rPr>
          <w:sz w:val="23"/>
        </w:rPr>
      </w:pPr>
    </w:p>
    <w:p w:rsidR="0002524F" w:rsidRDefault="0002524F" w:rsidP="0002524F">
      <w:pPr>
        <w:pStyle w:val="Nadpis2"/>
        <w:numPr>
          <w:ilvl w:val="1"/>
          <w:numId w:val="7"/>
        </w:numPr>
        <w:tabs>
          <w:tab w:val="left" w:pos="1869"/>
          <w:tab w:val="left" w:pos="1870"/>
        </w:tabs>
        <w:spacing w:before="1"/>
        <w:rPr>
          <w:u w:val="none"/>
        </w:rPr>
      </w:pPr>
      <w:bookmarkStart w:id="6" w:name="_bookmark6"/>
      <w:bookmarkEnd w:id="6"/>
      <w:r>
        <w:rPr>
          <w:u w:val="thick"/>
        </w:rPr>
        <w:t>Počty oddílů jednotlivých zkoušek / Počet oddílů na zkouškový</w:t>
      </w:r>
      <w:r>
        <w:rPr>
          <w:spacing w:val="-5"/>
          <w:u w:val="thick"/>
        </w:rPr>
        <w:t xml:space="preserve"> </w:t>
      </w:r>
      <w:r>
        <w:rPr>
          <w:u w:val="thick"/>
        </w:rPr>
        <w:t>den</w:t>
      </w:r>
    </w:p>
    <w:p w:rsidR="0002524F" w:rsidRDefault="0002524F" w:rsidP="0002524F">
      <w:pPr>
        <w:pStyle w:val="Zkladntext"/>
        <w:spacing w:before="137"/>
        <w:jc w:val="both"/>
      </w:pPr>
      <w:r>
        <w:t>Rozhodčí smí v jednom dni posoudit maximálně 30 oddílů (neplatí pro mistrovství)</w:t>
      </w:r>
    </w:p>
    <w:p w:rsidR="0002524F" w:rsidRDefault="0002524F" w:rsidP="0002524F">
      <w:pPr>
        <w:pStyle w:val="Zkladntext"/>
        <w:spacing w:before="11"/>
        <w:ind w:left="0"/>
        <w:rPr>
          <w:sz w:val="23"/>
        </w:rPr>
      </w:pPr>
    </w:p>
    <w:tbl>
      <w:tblPr>
        <w:tblStyle w:val="TableNormal"/>
        <w:tblW w:w="0" w:type="auto"/>
        <w:tblInd w:w="1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4198"/>
      </w:tblGrid>
      <w:tr w:rsidR="0002524F" w:rsidTr="000A6911">
        <w:trPr>
          <w:trHeight w:val="476"/>
        </w:trPr>
        <w:tc>
          <w:tcPr>
            <w:tcW w:w="1976" w:type="dxa"/>
            <w:shd w:val="clear" w:color="auto" w:fill="CCCCCC"/>
          </w:tcPr>
          <w:p w:rsidR="0002524F" w:rsidRDefault="0002524F" w:rsidP="000A6911">
            <w:pPr>
              <w:pStyle w:val="TableParagraph"/>
              <w:spacing w:before="191"/>
              <w:ind w:left="107"/>
            </w:pPr>
            <w:r>
              <w:t>FPr, UPr, SPr 1-3</w:t>
            </w:r>
          </w:p>
        </w:tc>
        <w:tc>
          <w:tcPr>
            <w:tcW w:w="4198" w:type="dxa"/>
          </w:tcPr>
          <w:p w:rsidR="0002524F" w:rsidRDefault="0002524F" w:rsidP="000A6911">
            <w:pPr>
              <w:pStyle w:val="TableParagraph"/>
              <w:spacing w:before="191"/>
              <w:ind w:left="81"/>
            </w:pPr>
            <w:r>
              <w:t>odpovídá vždy 1 oddílu</w:t>
            </w:r>
          </w:p>
        </w:tc>
      </w:tr>
      <w:tr w:rsidR="0002524F" w:rsidTr="000A6911">
        <w:trPr>
          <w:trHeight w:val="460"/>
        </w:trPr>
        <w:tc>
          <w:tcPr>
            <w:tcW w:w="1976" w:type="dxa"/>
            <w:shd w:val="clear" w:color="auto" w:fill="CCCCCC"/>
          </w:tcPr>
          <w:p w:rsidR="0002524F" w:rsidRDefault="0002524F" w:rsidP="000A6911">
            <w:pPr>
              <w:pStyle w:val="TableParagraph"/>
              <w:spacing w:before="105"/>
              <w:ind w:left="107"/>
            </w:pPr>
            <w:r>
              <w:t>Gpr 1-3</w:t>
            </w:r>
          </w:p>
        </w:tc>
        <w:tc>
          <w:tcPr>
            <w:tcW w:w="4198" w:type="dxa"/>
          </w:tcPr>
          <w:p w:rsidR="0002524F" w:rsidRDefault="0002524F" w:rsidP="000A6911">
            <w:pPr>
              <w:pStyle w:val="TableParagraph"/>
              <w:spacing w:before="105"/>
              <w:ind w:left="81"/>
            </w:pPr>
            <w:r>
              <w:t>odpovídá vždy 2 oddílům</w:t>
            </w:r>
          </w:p>
        </w:tc>
      </w:tr>
      <w:tr w:rsidR="0002524F" w:rsidTr="000A6911">
        <w:trPr>
          <w:trHeight w:val="460"/>
        </w:trPr>
        <w:tc>
          <w:tcPr>
            <w:tcW w:w="1976" w:type="dxa"/>
            <w:shd w:val="clear" w:color="auto" w:fill="CCCCCC"/>
          </w:tcPr>
          <w:p w:rsidR="0002524F" w:rsidRDefault="0002524F" w:rsidP="000A6911">
            <w:pPr>
              <w:pStyle w:val="TableParagraph"/>
              <w:spacing w:before="105"/>
              <w:ind w:left="107"/>
            </w:pPr>
            <w:r>
              <w:t>IBGH 1-3</w:t>
            </w:r>
          </w:p>
        </w:tc>
        <w:tc>
          <w:tcPr>
            <w:tcW w:w="4198" w:type="dxa"/>
          </w:tcPr>
          <w:p w:rsidR="0002524F" w:rsidRDefault="0002524F" w:rsidP="000A6911">
            <w:pPr>
              <w:pStyle w:val="TableParagraph"/>
              <w:spacing w:before="105"/>
              <w:ind w:left="81"/>
            </w:pPr>
            <w:r>
              <w:t>odpovídá vždy 1 oddílu</w:t>
            </w:r>
          </w:p>
        </w:tc>
      </w:tr>
      <w:tr w:rsidR="0002524F" w:rsidTr="000A6911">
        <w:trPr>
          <w:trHeight w:val="460"/>
        </w:trPr>
        <w:tc>
          <w:tcPr>
            <w:tcW w:w="1976" w:type="dxa"/>
            <w:shd w:val="clear" w:color="auto" w:fill="CCCCCC"/>
          </w:tcPr>
          <w:p w:rsidR="0002524F" w:rsidRDefault="0002524F" w:rsidP="000A6911">
            <w:pPr>
              <w:pStyle w:val="TableParagraph"/>
              <w:spacing w:before="105"/>
              <w:ind w:left="107"/>
            </w:pPr>
            <w:r>
              <w:t>IFH-V</w:t>
            </w:r>
          </w:p>
        </w:tc>
        <w:tc>
          <w:tcPr>
            <w:tcW w:w="4198" w:type="dxa"/>
          </w:tcPr>
          <w:p w:rsidR="0002524F" w:rsidRDefault="0002524F" w:rsidP="000A6911">
            <w:pPr>
              <w:pStyle w:val="TableParagraph"/>
              <w:spacing w:before="105"/>
              <w:ind w:left="81"/>
            </w:pPr>
            <w:r>
              <w:t>odpovídá vždy 1 oddílu</w:t>
            </w:r>
          </w:p>
        </w:tc>
      </w:tr>
      <w:tr w:rsidR="0002524F" w:rsidTr="000A6911">
        <w:trPr>
          <w:trHeight w:val="661"/>
        </w:trPr>
        <w:tc>
          <w:tcPr>
            <w:tcW w:w="1976" w:type="dxa"/>
            <w:shd w:val="clear" w:color="auto" w:fill="CCCCCC"/>
          </w:tcPr>
          <w:p w:rsidR="0002524F" w:rsidRDefault="0002524F" w:rsidP="000A6911">
            <w:pPr>
              <w:pStyle w:val="TableParagraph"/>
              <w:spacing w:before="86" w:line="270" w:lineRule="atLeast"/>
              <w:ind w:left="107"/>
            </w:pPr>
            <w:r>
              <w:t>IFH 1, IFH 2, IGP FH</w:t>
            </w:r>
          </w:p>
        </w:tc>
        <w:tc>
          <w:tcPr>
            <w:tcW w:w="4198" w:type="dxa"/>
          </w:tcPr>
          <w:p w:rsidR="0002524F" w:rsidRDefault="0002524F" w:rsidP="000A6911">
            <w:pPr>
              <w:pStyle w:val="TableParagraph"/>
              <w:spacing w:before="103"/>
              <w:ind w:left="81"/>
            </w:pPr>
            <w:r>
              <w:t>odpovídá vždy 3 oddílům</w:t>
            </w:r>
          </w:p>
        </w:tc>
      </w:tr>
      <w:tr w:rsidR="0002524F" w:rsidTr="000A6911">
        <w:trPr>
          <w:trHeight w:val="460"/>
        </w:trPr>
        <w:tc>
          <w:tcPr>
            <w:tcW w:w="1976" w:type="dxa"/>
            <w:shd w:val="clear" w:color="auto" w:fill="CCCCCC"/>
          </w:tcPr>
          <w:p w:rsidR="0002524F" w:rsidRDefault="0002524F" w:rsidP="000A6911">
            <w:pPr>
              <w:pStyle w:val="TableParagraph"/>
              <w:spacing w:before="103"/>
              <w:ind w:left="107"/>
            </w:pPr>
            <w:r>
              <w:t>BH-VT</w:t>
            </w:r>
          </w:p>
        </w:tc>
        <w:tc>
          <w:tcPr>
            <w:tcW w:w="4198" w:type="dxa"/>
          </w:tcPr>
          <w:p w:rsidR="0002524F" w:rsidRDefault="0002524F" w:rsidP="000A6911">
            <w:pPr>
              <w:pStyle w:val="TableParagraph"/>
              <w:spacing w:before="103"/>
              <w:ind w:left="81"/>
            </w:pPr>
            <w:r>
              <w:t>odpovídá vždy 2 oddílům</w:t>
            </w:r>
          </w:p>
        </w:tc>
      </w:tr>
      <w:tr w:rsidR="0002524F" w:rsidTr="000A6911">
        <w:trPr>
          <w:trHeight w:val="460"/>
        </w:trPr>
        <w:tc>
          <w:tcPr>
            <w:tcW w:w="1976" w:type="dxa"/>
            <w:shd w:val="clear" w:color="auto" w:fill="CCCCCC"/>
          </w:tcPr>
          <w:p w:rsidR="0002524F" w:rsidRDefault="0002524F" w:rsidP="000A6911">
            <w:pPr>
              <w:pStyle w:val="TableParagraph"/>
              <w:spacing w:before="103"/>
              <w:ind w:left="107"/>
            </w:pPr>
            <w:r>
              <w:t>IGP-V</w:t>
            </w:r>
          </w:p>
        </w:tc>
        <w:tc>
          <w:tcPr>
            <w:tcW w:w="4198" w:type="dxa"/>
          </w:tcPr>
          <w:p w:rsidR="0002524F" w:rsidRDefault="0002524F" w:rsidP="000A6911">
            <w:pPr>
              <w:pStyle w:val="TableParagraph"/>
              <w:spacing w:before="103"/>
              <w:ind w:left="81"/>
            </w:pPr>
            <w:r>
              <w:t>odpovídá vždy 2 oddílům</w:t>
            </w:r>
          </w:p>
        </w:tc>
      </w:tr>
      <w:tr w:rsidR="0002524F" w:rsidTr="000A6911">
        <w:trPr>
          <w:trHeight w:val="460"/>
        </w:trPr>
        <w:tc>
          <w:tcPr>
            <w:tcW w:w="1976" w:type="dxa"/>
            <w:shd w:val="clear" w:color="auto" w:fill="CCCCCC"/>
          </w:tcPr>
          <w:p w:rsidR="0002524F" w:rsidRDefault="0002524F" w:rsidP="000A6911">
            <w:pPr>
              <w:pStyle w:val="TableParagraph"/>
              <w:spacing w:before="103"/>
              <w:ind w:left="107"/>
            </w:pPr>
            <w:r>
              <w:t>IGP-ZTP</w:t>
            </w:r>
          </w:p>
        </w:tc>
        <w:tc>
          <w:tcPr>
            <w:tcW w:w="4198" w:type="dxa"/>
          </w:tcPr>
          <w:p w:rsidR="0002524F" w:rsidRDefault="0002524F" w:rsidP="000A6911">
            <w:pPr>
              <w:pStyle w:val="TableParagraph"/>
              <w:spacing w:before="103"/>
              <w:ind w:left="81"/>
            </w:pPr>
            <w:r>
              <w:t>odpovídá vždy 3 oddílům</w:t>
            </w:r>
          </w:p>
        </w:tc>
      </w:tr>
      <w:tr w:rsidR="0002524F" w:rsidTr="000A6911">
        <w:trPr>
          <w:trHeight w:val="661"/>
        </w:trPr>
        <w:tc>
          <w:tcPr>
            <w:tcW w:w="1976" w:type="dxa"/>
            <w:shd w:val="clear" w:color="auto" w:fill="CCCCCC"/>
          </w:tcPr>
          <w:p w:rsidR="0002524F" w:rsidRDefault="0002524F" w:rsidP="000A6911">
            <w:pPr>
              <w:pStyle w:val="TableParagraph"/>
              <w:tabs>
                <w:tab w:val="left" w:pos="1240"/>
              </w:tabs>
              <w:spacing w:before="86" w:line="270" w:lineRule="atLeast"/>
              <w:ind w:left="107" w:right="78"/>
            </w:pPr>
            <w:r>
              <w:t>IGP-1,</w:t>
            </w:r>
            <w:r>
              <w:tab/>
            </w:r>
            <w:r>
              <w:rPr>
                <w:spacing w:val="-1"/>
              </w:rPr>
              <w:t xml:space="preserve">IGP-2, </w:t>
            </w:r>
            <w:r>
              <w:t>IGP-3</w:t>
            </w:r>
          </w:p>
        </w:tc>
        <w:tc>
          <w:tcPr>
            <w:tcW w:w="4198" w:type="dxa"/>
          </w:tcPr>
          <w:p w:rsidR="0002524F" w:rsidRDefault="0002524F" w:rsidP="000A6911">
            <w:pPr>
              <w:pStyle w:val="TableParagraph"/>
              <w:spacing w:before="103"/>
              <w:ind w:left="81"/>
            </w:pPr>
            <w:r>
              <w:t>odpovídá vždy 3 oddílům</w:t>
            </w:r>
          </w:p>
        </w:tc>
      </w:tr>
      <w:tr w:rsidR="0002524F" w:rsidTr="000A6911">
        <w:trPr>
          <w:trHeight w:val="457"/>
        </w:trPr>
        <w:tc>
          <w:tcPr>
            <w:tcW w:w="1976" w:type="dxa"/>
            <w:shd w:val="clear" w:color="auto" w:fill="CCCCCC"/>
          </w:tcPr>
          <w:p w:rsidR="0002524F" w:rsidRDefault="0002524F" w:rsidP="000A6911">
            <w:pPr>
              <w:pStyle w:val="TableParagraph"/>
              <w:spacing w:before="105"/>
              <w:ind w:left="107"/>
            </w:pPr>
            <w:r>
              <w:t>StPr 1-3</w:t>
            </w:r>
          </w:p>
        </w:tc>
        <w:tc>
          <w:tcPr>
            <w:tcW w:w="4198" w:type="dxa"/>
          </w:tcPr>
          <w:p w:rsidR="0002524F" w:rsidRDefault="0002524F" w:rsidP="000A6911">
            <w:pPr>
              <w:pStyle w:val="TableParagraph"/>
              <w:spacing w:before="105"/>
              <w:ind w:left="81"/>
            </w:pPr>
            <w:r>
              <w:t>odpovídá vždy 1 oddílu</w:t>
            </w:r>
          </w:p>
        </w:tc>
      </w:tr>
    </w:tbl>
    <w:p w:rsidR="0002524F" w:rsidRDefault="0002524F" w:rsidP="0002524F">
      <w:pPr>
        <w:pStyle w:val="Zkladntext"/>
        <w:spacing w:before="8"/>
        <w:ind w:left="0"/>
        <w:rPr>
          <w:sz w:val="23"/>
        </w:rPr>
      </w:pPr>
    </w:p>
    <w:p w:rsidR="0002524F" w:rsidRDefault="0002524F" w:rsidP="0002524F">
      <w:pPr>
        <w:pStyle w:val="Nadpis2"/>
        <w:numPr>
          <w:ilvl w:val="1"/>
          <w:numId w:val="7"/>
        </w:numPr>
        <w:tabs>
          <w:tab w:val="left" w:pos="1870"/>
        </w:tabs>
        <w:jc w:val="both"/>
        <w:rPr>
          <w:sz w:val="22"/>
          <w:u w:val="none"/>
        </w:rPr>
      </w:pPr>
      <w:bookmarkStart w:id="7" w:name="_bookmark7"/>
      <w:bookmarkEnd w:id="7"/>
      <w:r>
        <w:rPr>
          <w:u w:val="thick"/>
        </w:rPr>
        <w:t>Účastník</w:t>
      </w:r>
      <w:r>
        <w:rPr>
          <w:spacing w:val="-1"/>
          <w:u w:val="thick"/>
        </w:rPr>
        <w:t xml:space="preserve"> </w:t>
      </w:r>
      <w:r>
        <w:rPr>
          <w:u w:val="thick"/>
        </w:rPr>
        <w:t>zkoušek/soutěže</w:t>
      </w:r>
      <w:r>
        <w:rPr>
          <w:sz w:val="22"/>
          <w:u w:val="none"/>
        </w:rPr>
        <w:t>:</w:t>
      </w:r>
    </w:p>
    <w:p w:rsidR="0002524F" w:rsidRDefault="0002524F" w:rsidP="0002524F">
      <w:pPr>
        <w:pStyle w:val="Zkladntext"/>
        <w:spacing w:before="135"/>
        <w:ind w:right="831"/>
        <w:jc w:val="both"/>
      </w:pPr>
      <w:r>
        <w:t>Účastník zkoušek je povinen dodržet stanovený termín uzávěrky přihlášek. Podáním přihlášky se účastník zavazuje k úhradě startovného. Nemůže-li se z jakéhokoli důvodu dostavit, musí toto neprodleně sdělit vedoucímu zkoušek. Každý účastník musí dodržovat pravidla veterinární ochrany a ochrany zvířat, platící v místě konání akce. Každý účastník se musí podřídit pokynům rozhodčího a vedoucího zkoušek. Účastník zkoušek musí svého psa předvádět sportovně bezchybným</w:t>
      </w:r>
      <w:r>
        <w:rPr>
          <w:spacing w:val="-3"/>
        </w:rPr>
        <w:t xml:space="preserve"> </w:t>
      </w:r>
      <w:r>
        <w:t>způsobem.</w:t>
      </w:r>
    </w:p>
    <w:p w:rsidR="0002524F" w:rsidRDefault="0002524F" w:rsidP="0002524F">
      <w:pPr>
        <w:pStyle w:val="Zkladntext"/>
        <w:spacing w:before="2"/>
        <w:ind w:right="835"/>
        <w:jc w:val="both"/>
      </w:pPr>
      <w:r>
        <w:t>Pokud pes na zkouškách nedosáhne v kterémkoliv oddílu 70% bodů, již dále ve zkoušce nepokračuje. Zkoušky jsou ukončeny vyhlášením výsledků a předáním výkonnostních průkazů psů.</w:t>
      </w:r>
    </w:p>
    <w:p w:rsidR="0002524F" w:rsidRDefault="0002524F" w:rsidP="0002524F">
      <w:pPr>
        <w:pStyle w:val="Zkladntext"/>
        <w:spacing w:before="10"/>
        <w:ind w:left="0"/>
        <w:rPr>
          <w:sz w:val="21"/>
        </w:rPr>
      </w:pPr>
    </w:p>
    <w:p w:rsidR="0002524F" w:rsidRDefault="0002524F" w:rsidP="0002524F">
      <w:pPr>
        <w:pStyle w:val="Zkladntext"/>
        <w:ind w:right="832"/>
        <w:jc w:val="both"/>
      </w:pPr>
      <w:r>
        <w:t>Rozhodčí je oprávněn, i proti názoru psovoda, vyloučit ze zkoušky psa zraněného, nebo výkonnostně omezeného. Pokud psovod ze zkoušky odstoupí, následuje zápis do výkonnostního průkazu „nedostatečně – odstoupil“. Pokud psovod předčasně ukončí zkoušku z důvodu viditelného zranění psa nebo předloží tomu odpovídající zprávu veterinárního lékaře, zapíše se „ukončení pro zranění“. Při nesportovním chování, přestupcích proti zkušebnímu řádu, proti pravidlům ochrany zvířat či dobrých mravů je rozhodčí oprávněn psovoda z akce diskvalifikovat. V každém případě je nutno takovéto</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pStyle w:val="Zkladntext"/>
        <w:spacing w:before="101"/>
        <w:ind w:right="830"/>
        <w:jc w:val="both"/>
      </w:pPr>
      <w:r>
        <w:lastRenderedPageBreak/>
        <w:t>předčasné ukončení zkoušky se zdůvodněním poznamenat do výkonnostního průkazu psa. Dosud získané body se odejmou.</w:t>
      </w:r>
    </w:p>
    <w:p w:rsidR="0002524F" w:rsidRDefault="0002524F" w:rsidP="0002524F">
      <w:pPr>
        <w:pStyle w:val="Zkladntext"/>
        <w:spacing w:before="7"/>
        <w:ind w:left="0"/>
        <w:rPr>
          <w:sz w:val="23"/>
        </w:rPr>
      </w:pPr>
    </w:p>
    <w:p w:rsidR="0002524F" w:rsidRDefault="0002524F" w:rsidP="0002524F">
      <w:pPr>
        <w:pStyle w:val="Zkladntext"/>
        <w:ind w:right="833"/>
        <w:jc w:val="both"/>
      </w:pPr>
      <w:r>
        <w:t>Zkouška začíná kontrolou identity psa a končí vyhlášením výsledků. Při nástupu ke každému oddílu zkoušek a při jeho ukončení podává psovod se psem rozhodčímu hlášení. Psovod hlásí v základním postoji rozhodčímu své jméno a jméno psa a připravenost k zahájení nebo ukončení</w:t>
      </w:r>
      <w:r>
        <w:rPr>
          <w:spacing w:val="-8"/>
        </w:rPr>
        <w:t xml:space="preserve"> </w:t>
      </w:r>
      <w:r>
        <w:t>oddílu.</w:t>
      </w:r>
    </w:p>
    <w:p w:rsidR="0002524F" w:rsidRDefault="0002524F" w:rsidP="0002524F">
      <w:pPr>
        <w:pStyle w:val="Zkladntext"/>
        <w:spacing w:before="10"/>
        <w:ind w:left="0"/>
        <w:rPr>
          <w:sz w:val="23"/>
        </w:rPr>
      </w:pPr>
    </w:p>
    <w:p w:rsidR="0002524F" w:rsidRDefault="0002524F" w:rsidP="0002524F">
      <w:pPr>
        <w:pStyle w:val="Zkladntext"/>
        <w:ind w:right="828"/>
        <w:jc w:val="both"/>
      </w:pPr>
      <w:r>
        <w:t>Pokud se stejného stupně zkoušky účastní více psovodů, určuje se jejich startovní pořadí losem. Minimální počet zúčastněných psů na jednu akci je pět. Snížení počtu není dovoleno.</w:t>
      </w:r>
    </w:p>
    <w:p w:rsidR="0002524F" w:rsidRDefault="0002524F" w:rsidP="0002524F">
      <w:pPr>
        <w:pStyle w:val="Zkladntext"/>
        <w:spacing w:before="10"/>
        <w:ind w:left="0"/>
        <w:rPr>
          <w:sz w:val="21"/>
        </w:rPr>
      </w:pPr>
    </w:p>
    <w:p w:rsidR="0002524F" w:rsidRDefault="0002524F" w:rsidP="0002524F">
      <w:pPr>
        <w:pStyle w:val="Zkladntext"/>
        <w:ind w:right="831"/>
        <w:jc w:val="both"/>
      </w:pPr>
      <w:r>
        <w:t>Každý stupeň zkoušky může být libovolně často opakován. Jednotlivé stupně zkoušek se skládají od nejnižší k nejvyšší (1-2-3). K vyššímu stupni může být pes předveden teprve po úspěšně složeném nižším stupni příslušné zkoušky. Pes musí být vždy veden podle nejvyšší dosažené zkoušky, vyjma akcí, na kterých není pořadí nebo kvalifikace spojené se zkouškou. Psovod zodpovídá za všechny škody na osobách a věcech způsobené jeho psem v průběhu celé zkouškové akce. Pokyny udílené rozhodčím, případně pořadatelem, psovod plní dobrovolně a na vlastní</w:t>
      </w:r>
      <w:r>
        <w:rPr>
          <w:spacing w:val="-9"/>
        </w:rPr>
        <w:t xml:space="preserve"> </w:t>
      </w:r>
      <w:r>
        <w:t>nebezpečí.</w:t>
      </w:r>
    </w:p>
    <w:p w:rsidR="0002524F" w:rsidRDefault="0002524F" w:rsidP="0002524F">
      <w:pPr>
        <w:pStyle w:val="Zkladntext"/>
        <w:ind w:left="0"/>
        <w:rPr>
          <w:sz w:val="24"/>
        </w:rPr>
      </w:pPr>
    </w:p>
    <w:p w:rsidR="0002524F" w:rsidRDefault="0002524F" w:rsidP="0002524F">
      <w:pPr>
        <w:pStyle w:val="Nadpis2"/>
        <w:numPr>
          <w:ilvl w:val="1"/>
          <w:numId w:val="7"/>
        </w:numPr>
        <w:tabs>
          <w:tab w:val="left" w:pos="1870"/>
        </w:tabs>
        <w:jc w:val="both"/>
        <w:rPr>
          <w:u w:val="none"/>
        </w:rPr>
      </w:pPr>
      <w:bookmarkStart w:id="8" w:name="_bookmark8"/>
      <w:bookmarkEnd w:id="8"/>
      <w:r>
        <w:rPr>
          <w:u w:val="thick"/>
        </w:rPr>
        <w:t>Podmínky</w:t>
      </w:r>
      <w:r>
        <w:rPr>
          <w:spacing w:val="-1"/>
          <w:u w:val="thick"/>
        </w:rPr>
        <w:t xml:space="preserve"> </w:t>
      </w:r>
      <w:r>
        <w:rPr>
          <w:u w:val="thick"/>
        </w:rPr>
        <w:t>účasti:</w:t>
      </w:r>
    </w:p>
    <w:p w:rsidR="0002524F" w:rsidRDefault="0002524F" w:rsidP="0002524F">
      <w:pPr>
        <w:pStyle w:val="Zkladntext"/>
        <w:spacing w:before="135"/>
        <w:ind w:right="1538"/>
      </w:pPr>
      <w:r>
        <w:t>V den zkoušky musí pes dosáhnout předepsaného věku. Výjimky nejsou povoleny. Předpokladem pro start je úspěšně splněná zkouška BH-VT.</w:t>
      </w:r>
    </w:p>
    <w:p w:rsidR="0002524F" w:rsidRDefault="0002524F" w:rsidP="0002524F">
      <w:pPr>
        <w:pStyle w:val="Zkladntext"/>
        <w:spacing w:before="1"/>
        <w:jc w:val="both"/>
      </w:pPr>
      <w:r>
        <w:t>Předepsaný věkový limit pro složení zkoušky BH-VT je 15 měsíců.</w:t>
      </w:r>
    </w:p>
    <w:p w:rsidR="0002524F" w:rsidRDefault="0002524F" w:rsidP="0002524F">
      <w:pPr>
        <w:pStyle w:val="Zkladntext"/>
        <w:spacing w:before="10"/>
        <w:ind w:left="0"/>
        <w:rPr>
          <w:sz w:val="23"/>
        </w:rPr>
      </w:pPr>
    </w:p>
    <w:tbl>
      <w:tblPr>
        <w:tblStyle w:val="TableNormal"/>
        <w:tblW w:w="0" w:type="auto"/>
        <w:tblInd w:w="1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3020"/>
        <w:gridCol w:w="1761"/>
      </w:tblGrid>
      <w:tr w:rsidR="0002524F" w:rsidTr="000A6911">
        <w:trPr>
          <w:trHeight w:val="606"/>
        </w:trPr>
        <w:tc>
          <w:tcPr>
            <w:tcW w:w="1975" w:type="dxa"/>
            <w:shd w:val="clear" w:color="auto" w:fill="CCCCCC"/>
          </w:tcPr>
          <w:p w:rsidR="0002524F" w:rsidRDefault="0002524F" w:rsidP="000A6911">
            <w:pPr>
              <w:pStyle w:val="TableParagraph"/>
              <w:spacing w:before="11"/>
              <w:rPr>
                <w:sz w:val="18"/>
              </w:rPr>
            </w:pPr>
          </w:p>
          <w:p w:rsidR="0002524F" w:rsidRDefault="0002524F" w:rsidP="000A6911">
            <w:pPr>
              <w:pStyle w:val="TableParagraph"/>
              <w:ind w:left="102"/>
            </w:pPr>
            <w:r>
              <w:t>Chci složit</w:t>
            </w:r>
          </w:p>
        </w:tc>
        <w:tc>
          <w:tcPr>
            <w:tcW w:w="3020" w:type="dxa"/>
          </w:tcPr>
          <w:p w:rsidR="0002524F" w:rsidRDefault="0002524F" w:rsidP="000A6911">
            <w:pPr>
              <w:pStyle w:val="TableParagraph"/>
              <w:spacing w:before="11"/>
              <w:rPr>
                <w:sz w:val="18"/>
              </w:rPr>
            </w:pPr>
          </w:p>
          <w:p w:rsidR="0002524F" w:rsidRDefault="0002524F" w:rsidP="000A6911">
            <w:pPr>
              <w:pStyle w:val="TableParagraph"/>
              <w:ind w:left="98"/>
            </w:pPr>
            <w:r>
              <w:t>Musím mít splněno</w:t>
            </w:r>
          </w:p>
        </w:tc>
        <w:tc>
          <w:tcPr>
            <w:tcW w:w="1761" w:type="dxa"/>
          </w:tcPr>
          <w:p w:rsidR="0002524F" w:rsidRDefault="0002524F" w:rsidP="000A6911">
            <w:pPr>
              <w:pStyle w:val="TableParagraph"/>
              <w:spacing w:before="11"/>
              <w:rPr>
                <w:sz w:val="18"/>
              </w:rPr>
            </w:pPr>
          </w:p>
          <w:p w:rsidR="0002524F" w:rsidRDefault="0002524F" w:rsidP="000A6911">
            <w:pPr>
              <w:pStyle w:val="TableParagraph"/>
              <w:ind w:left="98"/>
            </w:pPr>
            <w:r>
              <w:t>Minimální věk</w:t>
            </w:r>
          </w:p>
        </w:tc>
      </w:tr>
      <w:tr w:rsidR="0002524F" w:rsidTr="000A6911">
        <w:trPr>
          <w:trHeight w:val="450"/>
        </w:trPr>
        <w:tc>
          <w:tcPr>
            <w:tcW w:w="1975" w:type="dxa"/>
            <w:shd w:val="clear" w:color="auto" w:fill="CCCCCC"/>
          </w:tcPr>
          <w:p w:rsidR="0002524F" w:rsidRDefault="0002524F" w:rsidP="000A6911">
            <w:pPr>
              <w:pStyle w:val="TableParagraph"/>
              <w:spacing w:before="103"/>
              <w:ind w:left="97"/>
            </w:pPr>
            <w:r>
              <w:t>BH-VT</w:t>
            </w:r>
          </w:p>
        </w:tc>
        <w:tc>
          <w:tcPr>
            <w:tcW w:w="3020" w:type="dxa"/>
          </w:tcPr>
          <w:p w:rsidR="0002524F" w:rsidRDefault="0002524F" w:rsidP="000A6911">
            <w:pPr>
              <w:pStyle w:val="TableParagraph"/>
              <w:spacing w:before="103"/>
              <w:ind w:left="98"/>
            </w:pPr>
            <w:r>
              <w:t>-</w:t>
            </w:r>
          </w:p>
        </w:tc>
        <w:tc>
          <w:tcPr>
            <w:tcW w:w="1761" w:type="dxa"/>
          </w:tcPr>
          <w:p w:rsidR="0002524F" w:rsidRDefault="0002524F" w:rsidP="000A6911">
            <w:pPr>
              <w:pStyle w:val="TableParagraph"/>
              <w:spacing w:before="103"/>
              <w:ind w:left="98"/>
            </w:pPr>
            <w:r>
              <w:t>15 měsíců</w:t>
            </w:r>
          </w:p>
        </w:tc>
      </w:tr>
      <w:tr w:rsidR="0002524F" w:rsidTr="000A6911">
        <w:trPr>
          <w:trHeight w:val="448"/>
        </w:trPr>
        <w:tc>
          <w:tcPr>
            <w:tcW w:w="1975" w:type="dxa"/>
            <w:shd w:val="clear" w:color="auto" w:fill="CCCCCC"/>
          </w:tcPr>
          <w:p w:rsidR="0002524F" w:rsidRDefault="0002524F" w:rsidP="000A6911">
            <w:pPr>
              <w:pStyle w:val="TableParagraph"/>
              <w:spacing w:before="103"/>
              <w:ind w:left="102"/>
            </w:pPr>
            <w:r>
              <w:t>AD</w:t>
            </w:r>
          </w:p>
        </w:tc>
        <w:tc>
          <w:tcPr>
            <w:tcW w:w="3020" w:type="dxa"/>
          </w:tcPr>
          <w:p w:rsidR="0002524F" w:rsidRDefault="0002524F" w:rsidP="000A6911">
            <w:pPr>
              <w:pStyle w:val="TableParagraph"/>
              <w:spacing w:before="103"/>
              <w:ind w:left="98"/>
            </w:pPr>
            <w:r>
              <w:t>BH-VT</w:t>
            </w:r>
          </w:p>
        </w:tc>
        <w:tc>
          <w:tcPr>
            <w:tcW w:w="1761" w:type="dxa"/>
          </w:tcPr>
          <w:p w:rsidR="0002524F" w:rsidRDefault="0002524F" w:rsidP="000A6911">
            <w:pPr>
              <w:pStyle w:val="TableParagraph"/>
              <w:spacing w:before="103"/>
              <w:ind w:left="98"/>
            </w:pPr>
            <w:r>
              <w:t>16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IBGH-1</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3"/>
              <w:ind w:left="97"/>
            </w:pPr>
            <w:r>
              <w:t>IBGH-2</w:t>
            </w:r>
          </w:p>
        </w:tc>
        <w:tc>
          <w:tcPr>
            <w:tcW w:w="3020" w:type="dxa"/>
          </w:tcPr>
          <w:p w:rsidR="0002524F" w:rsidRDefault="0002524F" w:rsidP="000A6911">
            <w:pPr>
              <w:pStyle w:val="TableParagraph"/>
              <w:spacing w:before="103"/>
              <w:ind w:left="98"/>
            </w:pPr>
            <w:r>
              <w:t>IBGH1</w:t>
            </w:r>
          </w:p>
        </w:tc>
        <w:tc>
          <w:tcPr>
            <w:tcW w:w="1761" w:type="dxa"/>
          </w:tcPr>
          <w:p w:rsidR="0002524F" w:rsidRDefault="0002524F" w:rsidP="000A6911">
            <w:pPr>
              <w:pStyle w:val="TableParagraph"/>
              <w:spacing w:before="103"/>
              <w:ind w:left="98"/>
            </w:pPr>
            <w:r>
              <w:t>15 měsíců</w:t>
            </w:r>
          </w:p>
        </w:tc>
      </w:tr>
      <w:tr w:rsidR="0002524F" w:rsidTr="000A6911">
        <w:trPr>
          <w:trHeight w:val="651"/>
        </w:trPr>
        <w:tc>
          <w:tcPr>
            <w:tcW w:w="1975" w:type="dxa"/>
            <w:shd w:val="clear" w:color="auto" w:fill="CCCCCC"/>
          </w:tcPr>
          <w:p w:rsidR="0002524F" w:rsidRDefault="0002524F" w:rsidP="000A6911">
            <w:pPr>
              <w:pStyle w:val="TableParagraph"/>
              <w:spacing w:before="103"/>
              <w:ind w:left="97"/>
            </w:pPr>
            <w:r>
              <w:t>IBGH-3</w:t>
            </w:r>
          </w:p>
        </w:tc>
        <w:tc>
          <w:tcPr>
            <w:tcW w:w="3020" w:type="dxa"/>
          </w:tcPr>
          <w:p w:rsidR="0002524F" w:rsidRDefault="0002524F" w:rsidP="000A6911">
            <w:pPr>
              <w:pStyle w:val="TableParagraph"/>
              <w:spacing w:before="86" w:line="270" w:lineRule="atLeast"/>
              <w:ind w:left="98" w:right="-29"/>
            </w:pPr>
            <w:r>
              <w:t>IBGH-2 nebo Obed.1 nebo IGP-1</w:t>
            </w:r>
          </w:p>
        </w:tc>
        <w:tc>
          <w:tcPr>
            <w:tcW w:w="1761" w:type="dxa"/>
          </w:tcPr>
          <w:p w:rsidR="0002524F" w:rsidRDefault="0002524F" w:rsidP="000A6911">
            <w:pPr>
              <w:pStyle w:val="TableParagraph"/>
              <w:spacing w:before="103"/>
              <w:ind w:left="98"/>
            </w:pPr>
            <w:r>
              <w:t>15 měsíců</w:t>
            </w:r>
          </w:p>
        </w:tc>
      </w:tr>
      <w:tr w:rsidR="0002524F" w:rsidTr="000A6911">
        <w:trPr>
          <w:trHeight w:val="448"/>
        </w:trPr>
        <w:tc>
          <w:tcPr>
            <w:tcW w:w="1975" w:type="dxa"/>
            <w:shd w:val="clear" w:color="auto" w:fill="CCCCCC"/>
          </w:tcPr>
          <w:p w:rsidR="0002524F" w:rsidRDefault="0002524F" w:rsidP="000A6911">
            <w:pPr>
              <w:pStyle w:val="TableParagraph"/>
              <w:spacing w:before="103"/>
              <w:ind w:left="100"/>
            </w:pPr>
            <w:r>
              <w:t>IGP-V</w:t>
            </w:r>
          </w:p>
        </w:tc>
        <w:tc>
          <w:tcPr>
            <w:tcW w:w="3020" w:type="dxa"/>
          </w:tcPr>
          <w:p w:rsidR="0002524F" w:rsidRDefault="0002524F" w:rsidP="000A6911">
            <w:pPr>
              <w:pStyle w:val="TableParagraph"/>
              <w:spacing w:before="103"/>
              <w:ind w:left="98"/>
            </w:pPr>
            <w:r>
              <w:t>BH-VT</w:t>
            </w:r>
          </w:p>
        </w:tc>
        <w:tc>
          <w:tcPr>
            <w:tcW w:w="1761" w:type="dxa"/>
          </w:tcPr>
          <w:p w:rsidR="0002524F" w:rsidRDefault="0002524F" w:rsidP="000A6911">
            <w:pPr>
              <w:pStyle w:val="TableParagraph"/>
              <w:spacing w:before="103"/>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102"/>
            </w:pPr>
            <w:r>
              <w:t>IGP-1</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18 měsíců</w:t>
            </w:r>
          </w:p>
        </w:tc>
      </w:tr>
      <w:tr w:rsidR="0002524F" w:rsidTr="000A6911">
        <w:trPr>
          <w:trHeight w:val="450"/>
        </w:trPr>
        <w:tc>
          <w:tcPr>
            <w:tcW w:w="1975" w:type="dxa"/>
            <w:shd w:val="clear" w:color="auto" w:fill="CCCCCC"/>
          </w:tcPr>
          <w:p w:rsidR="0002524F" w:rsidRDefault="0002524F" w:rsidP="000A6911">
            <w:pPr>
              <w:pStyle w:val="TableParagraph"/>
              <w:spacing w:before="103"/>
              <w:ind w:left="102"/>
            </w:pPr>
            <w:r>
              <w:t>IGP-2</w:t>
            </w:r>
          </w:p>
        </w:tc>
        <w:tc>
          <w:tcPr>
            <w:tcW w:w="3020" w:type="dxa"/>
          </w:tcPr>
          <w:p w:rsidR="0002524F" w:rsidRDefault="0002524F" w:rsidP="000A6911">
            <w:pPr>
              <w:pStyle w:val="TableParagraph"/>
              <w:spacing w:before="103"/>
              <w:ind w:left="98"/>
            </w:pPr>
            <w:r>
              <w:t>IGP-1</w:t>
            </w:r>
          </w:p>
        </w:tc>
        <w:tc>
          <w:tcPr>
            <w:tcW w:w="1761" w:type="dxa"/>
          </w:tcPr>
          <w:p w:rsidR="0002524F" w:rsidRDefault="0002524F" w:rsidP="000A6911">
            <w:pPr>
              <w:pStyle w:val="TableParagraph"/>
              <w:spacing w:before="103"/>
              <w:ind w:left="98"/>
            </w:pPr>
            <w:r>
              <w:t>19 měsíců</w:t>
            </w:r>
          </w:p>
        </w:tc>
      </w:tr>
      <w:tr w:rsidR="0002524F" w:rsidTr="000A6911">
        <w:trPr>
          <w:trHeight w:val="448"/>
        </w:trPr>
        <w:tc>
          <w:tcPr>
            <w:tcW w:w="1975" w:type="dxa"/>
            <w:shd w:val="clear" w:color="auto" w:fill="CCCCCC"/>
          </w:tcPr>
          <w:p w:rsidR="0002524F" w:rsidRDefault="0002524F" w:rsidP="000A6911">
            <w:pPr>
              <w:pStyle w:val="TableParagraph"/>
              <w:spacing w:before="103"/>
              <w:ind w:left="102"/>
            </w:pPr>
            <w:r>
              <w:t>IGP-3</w:t>
            </w:r>
          </w:p>
        </w:tc>
        <w:tc>
          <w:tcPr>
            <w:tcW w:w="3020" w:type="dxa"/>
          </w:tcPr>
          <w:p w:rsidR="0002524F" w:rsidRDefault="0002524F" w:rsidP="000A6911">
            <w:pPr>
              <w:pStyle w:val="TableParagraph"/>
              <w:spacing w:before="103"/>
              <w:ind w:left="98"/>
            </w:pPr>
            <w:r>
              <w:t>IGP-2</w:t>
            </w:r>
          </w:p>
        </w:tc>
        <w:tc>
          <w:tcPr>
            <w:tcW w:w="1761" w:type="dxa"/>
          </w:tcPr>
          <w:p w:rsidR="0002524F" w:rsidRDefault="0002524F" w:rsidP="000A6911">
            <w:pPr>
              <w:pStyle w:val="TableParagraph"/>
              <w:spacing w:before="103"/>
              <w:ind w:left="98"/>
            </w:pPr>
            <w:r>
              <w:t>20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IFH-V</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IFH-1</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18 měsíců</w:t>
            </w:r>
          </w:p>
        </w:tc>
      </w:tr>
      <w:tr w:rsidR="0002524F" w:rsidTr="000A6911">
        <w:trPr>
          <w:trHeight w:val="447"/>
        </w:trPr>
        <w:tc>
          <w:tcPr>
            <w:tcW w:w="1975" w:type="dxa"/>
            <w:shd w:val="clear" w:color="auto" w:fill="CCCCCC"/>
          </w:tcPr>
          <w:p w:rsidR="0002524F" w:rsidRDefault="0002524F" w:rsidP="000A6911">
            <w:pPr>
              <w:pStyle w:val="TableParagraph"/>
              <w:spacing w:before="103"/>
              <w:ind w:left="97"/>
            </w:pPr>
            <w:r>
              <w:t>IFH-2</w:t>
            </w:r>
          </w:p>
        </w:tc>
        <w:tc>
          <w:tcPr>
            <w:tcW w:w="3020" w:type="dxa"/>
          </w:tcPr>
          <w:p w:rsidR="0002524F" w:rsidRDefault="0002524F" w:rsidP="000A6911">
            <w:pPr>
              <w:pStyle w:val="TableParagraph"/>
              <w:spacing w:before="103"/>
              <w:ind w:left="98"/>
            </w:pPr>
            <w:r>
              <w:t>IFH-1</w:t>
            </w:r>
          </w:p>
        </w:tc>
        <w:tc>
          <w:tcPr>
            <w:tcW w:w="1761" w:type="dxa"/>
          </w:tcPr>
          <w:p w:rsidR="0002524F" w:rsidRDefault="0002524F" w:rsidP="000A6911">
            <w:pPr>
              <w:pStyle w:val="TableParagraph"/>
              <w:spacing w:before="103"/>
              <w:ind w:left="98"/>
            </w:pPr>
            <w:r>
              <w:t>19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IGP-FH</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20 měsíců</w:t>
            </w:r>
          </w:p>
        </w:tc>
      </w:tr>
    </w:tbl>
    <w:p w:rsidR="0002524F" w:rsidRDefault="0002524F" w:rsidP="0002524F">
      <w:pPr>
        <w:sectPr w:rsidR="0002524F">
          <w:pgSz w:w="11910" w:h="16840"/>
          <w:pgMar w:top="1580" w:right="300" w:bottom="1520" w:left="740" w:header="0" w:footer="1265" w:gutter="0"/>
          <w:cols w:space="708"/>
        </w:sectPr>
      </w:pPr>
    </w:p>
    <w:p w:rsidR="0002524F" w:rsidRDefault="0002524F" w:rsidP="0002524F">
      <w:pPr>
        <w:pStyle w:val="Zkladntext"/>
        <w:spacing w:before="11"/>
        <w:ind w:left="0"/>
        <w:rPr>
          <w:sz w:val="8"/>
        </w:rPr>
      </w:pPr>
    </w:p>
    <w:tbl>
      <w:tblPr>
        <w:tblStyle w:val="TableNormal"/>
        <w:tblW w:w="0" w:type="auto"/>
        <w:tblInd w:w="1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3020"/>
        <w:gridCol w:w="1761"/>
      </w:tblGrid>
      <w:tr w:rsidR="0002524F" w:rsidTr="000A6911">
        <w:trPr>
          <w:trHeight w:val="450"/>
        </w:trPr>
        <w:tc>
          <w:tcPr>
            <w:tcW w:w="1975" w:type="dxa"/>
            <w:shd w:val="clear" w:color="auto" w:fill="CCCCCC"/>
          </w:tcPr>
          <w:p w:rsidR="0002524F" w:rsidRDefault="0002524F" w:rsidP="000A6911">
            <w:pPr>
              <w:pStyle w:val="TableParagraph"/>
              <w:spacing w:before="103"/>
              <w:ind w:left="102"/>
            </w:pPr>
            <w:r>
              <w:t>IGP-ZTP</w:t>
            </w:r>
          </w:p>
        </w:tc>
        <w:tc>
          <w:tcPr>
            <w:tcW w:w="3020" w:type="dxa"/>
          </w:tcPr>
          <w:p w:rsidR="0002524F" w:rsidRDefault="0002524F" w:rsidP="000A6911">
            <w:pPr>
              <w:pStyle w:val="TableParagraph"/>
              <w:spacing w:before="103"/>
              <w:ind w:left="98"/>
            </w:pPr>
            <w:r>
              <w:t>BH-VT</w:t>
            </w:r>
          </w:p>
        </w:tc>
        <w:tc>
          <w:tcPr>
            <w:tcW w:w="1761" w:type="dxa"/>
          </w:tcPr>
          <w:p w:rsidR="0002524F" w:rsidRDefault="0002524F" w:rsidP="000A6911">
            <w:pPr>
              <w:pStyle w:val="TableParagraph"/>
              <w:spacing w:before="103"/>
              <w:ind w:left="98"/>
            </w:pPr>
            <w:r>
              <w:t>18 měsíců</w:t>
            </w:r>
          </w:p>
        </w:tc>
      </w:tr>
      <w:tr w:rsidR="0002524F" w:rsidTr="000A6911">
        <w:trPr>
          <w:trHeight w:val="448"/>
        </w:trPr>
        <w:tc>
          <w:tcPr>
            <w:tcW w:w="1975" w:type="dxa"/>
            <w:shd w:val="clear" w:color="auto" w:fill="CCCCCC"/>
          </w:tcPr>
          <w:p w:rsidR="0002524F" w:rsidRDefault="0002524F" w:rsidP="000A6911">
            <w:pPr>
              <w:pStyle w:val="TableParagraph"/>
              <w:spacing w:before="105"/>
              <w:ind w:left="97"/>
            </w:pPr>
            <w:r>
              <w:t>FPr.1-3</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UPr.1-3</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102"/>
            </w:pPr>
            <w:r>
              <w:t>GPr.1-3</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SPr.1-3</w:t>
            </w:r>
          </w:p>
        </w:tc>
        <w:tc>
          <w:tcPr>
            <w:tcW w:w="3020" w:type="dxa"/>
          </w:tcPr>
          <w:p w:rsidR="0002524F" w:rsidRDefault="0002524F" w:rsidP="000A6911">
            <w:pPr>
              <w:pStyle w:val="TableParagraph"/>
              <w:spacing w:before="105"/>
              <w:ind w:left="98"/>
            </w:pPr>
            <w:r>
              <w:t>BH-VT</w:t>
            </w:r>
          </w:p>
        </w:tc>
        <w:tc>
          <w:tcPr>
            <w:tcW w:w="1761" w:type="dxa"/>
          </w:tcPr>
          <w:p w:rsidR="0002524F" w:rsidRDefault="0002524F" w:rsidP="000A6911">
            <w:pPr>
              <w:pStyle w:val="TableParagraph"/>
              <w:spacing w:before="105"/>
              <w:ind w:left="98"/>
            </w:pPr>
            <w:r>
              <w:t>18 měsíců</w:t>
            </w:r>
          </w:p>
        </w:tc>
      </w:tr>
      <w:tr w:rsidR="0002524F" w:rsidTr="000A6911">
        <w:trPr>
          <w:trHeight w:val="448"/>
        </w:trPr>
        <w:tc>
          <w:tcPr>
            <w:tcW w:w="1975" w:type="dxa"/>
            <w:shd w:val="clear" w:color="auto" w:fill="CCCCCC"/>
          </w:tcPr>
          <w:p w:rsidR="0002524F" w:rsidRDefault="0002524F" w:rsidP="000A6911">
            <w:pPr>
              <w:pStyle w:val="TableParagraph"/>
              <w:spacing w:before="103"/>
              <w:ind w:left="97"/>
            </w:pPr>
            <w:r>
              <w:t>StPr.1</w:t>
            </w:r>
          </w:p>
        </w:tc>
        <w:tc>
          <w:tcPr>
            <w:tcW w:w="3020" w:type="dxa"/>
          </w:tcPr>
          <w:p w:rsidR="0002524F" w:rsidRDefault="0002524F" w:rsidP="000A6911">
            <w:pPr>
              <w:pStyle w:val="TableParagraph"/>
              <w:spacing w:before="103"/>
              <w:ind w:left="98"/>
            </w:pPr>
            <w:r>
              <w:t>BH-VT</w:t>
            </w:r>
          </w:p>
        </w:tc>
        <w:tc>
          <w:tcPr>
            <w:tcW w:w="1761" w:type="dxa"/>
          </w:tcPr>
          <w:p w:rsidR="0002524F" w:rsidRDefault="0002524F" w:rsidP="000A6911">
            <w:pPr>
              <w:pStyle w:val="TableParagraph"/>
              <w:spacing w:before="103"/>
              <w:ind w:left="98"/>
            </w:pPr>
            <w:r>
              <w:t>15 měsíců</w:t>
            </w:r>
          </w:p>
        </w:tc>
      </w:tr>
      <w:tr w:rsidR="0002524F" w:rsidTr="000A6911">
        <w:trPr>
          <w:trHeight w:val="450"/>
        </w:trPr>
        <w:tc>
          <w:tcPr>
            <w:tcW w:w="1975" w:type="dxa"/>
            <w:shd w:val="clear" w:color="auto" w:fill="CCCCCC"/>
          </w:tcPr>
          <w:p w:rsidR="0002524F" w:rsidRDefault="0002524F" w:rsidP="000A6911">
            <w:pPr>
              <w:pStyle w:val="TableParagraph"/>
              <w:spacing w:before="105"/>
              <w:ind w:left="97"/>
            </w:pPr>
            <w:r>
              <w:t>StPr.2</w:t>
            </w:r>
          </w:p>
        </w:tc>
        <w:tc>
          <w:tcPr>
            <w:tcW w:w="3020" w:type="dxa"/>
          </w:tcPr>
          <w:p w:rsidR="0002524F" w:rsidRDefault="0002524F" w:rsidP="000A6911">
            <w:pPr>
              <w:pStyle w:val="TableParagraph"/>
              <w:spacing w:before="105"/>
              <w:ind w:left="98"/>
            </w:pPr>
            <w:r>
              <w:t>StPr.1</w:t>
            </w:r>
          </w:p>
        </w:tc>
        <w:tc>
          <w:tcPr>
            <w:tcW w:w="1761" w:type="dxa"/>
          </w:tcPr>
          <w:p w:rsidR="0002524F" w:rsidRDefault="0002524F" w:rsidP="000A6911">
            <w:pPr>
              <w:pStyle w:val="TableParagraph"/>
              <w:spacing w:before="105"/>
              <w:ind w:left="98"/>
            </w:pPr>
            <w:r>
              <w:t>15 měsíců</w:t>
            </w:r>
          </w:p>
        </w:tc>
      </w:tr>
      <w:tr w:rsidR="0002524F" w:rsidTr="000A6911">
        <w:trPr>
          <w:trHeight w:val="447"/>
        </w:trPr>
        <w:tc>
          <w:tcPr>
            <w:tcW w:w="1975" w:type="dxa"/>
            <w:shd w:val="clear" w:color="auto" w:fill="CCCCCC"/>
          </w:tcPr>
          <w:p w:rsidR="0002524F" w:rsidRDefault="0002524F" w:rsidP="000A6911">
            <w:pPr>
              <w:pStyle w:val="TableParagraph"/>
              <w:spacing w:before="105"/>
              <w:ind w:left="97"/>
            </w:pPr>
            <w:r>
              <w:t>StPr.3</w:t>
            </w:r>
          </w:p>
        </w:tc>
        <w:tc>
          <w:tcPr>
            <w:tcW w:w="3020" w:type="dxa"/>
          </w:tcPr>
          <w:p w:rsidR="0002524F" w:rsidRDefault="0002524F" w:rsidP="000A6911">
            <w:pPr>
              <w:pStyle w:val="TableParagraph"/>
              <w:spacing w:before="105"/>
              <w:ind w:left="98"/>
            </w:pPr>
            <w:r>
              <w:t>StPr.2</w:t>
            </w:r>
          </w:p>
        </w:tc>
        <w:tc>
          <w:tcPr>
            <w:tcW w:w="1761" w:type="dxa"/>
          </w:tcPr>
          <w:p w:rsidR="0002524F" w:rsidRDefault="0002524F" w:rsidP="000A6911">
            <w:pPr>
              <w:pStyle w:val="TableParagraph"/>
              <w:spacing w:before="105"/>
              <w:ind w:left="98"/>
            </w:pPr>
            <w:r>
              <w:t>15 měsíců</w:t>
            </w:r>
          </w:p>
        </w:tc>
      </w:tr>
    </w:tbl>
    <w:p w:rsidR="0002524F" w:rsidRDefault="0002524F" w:rsidP="0002524F">
      <w:pPr>
        <w:pStyle w:val="Zkladntext"/>
        <w:spacing w:before="5"/>
        <w:ind w:left="0"/>
        <w:rPr>
          <w:sz w:val="15"/>
        </w:rPr>
      </w:pPr>
    </w:p>
    <w:p w:rsidR="0002524F" w:rsidRDefault="0002524F" w:rsidP="0002524F">
      <w:pPr>
        <w:pStyle w:val="Zkladntext"/>
        <w:spacing w:before="94"/>
        <w:ind w:right="828"/>
        <w:jc w:val="both"/>
      </w:pPr>
      <w:r>
        <w:t>Pod označením zkoušky FPr 1-3 se rozumí práce na stopě dle zkoušky IGP 1-3, pod označením UPr 1-3 cviky poslušnosti podle zkoušky IGP 1-3, pod označením SPr 1-3 cviky obrany dle zkoušky IGP 1-3 a pod označením GPr 1-3 cviky poslušnosti a obrany dle zkoušky IGP</w:t>
      </w:r>
      <w:r>
        <w:rPr>
          <w:spacing w:val="-2"/>
        </w:rPr>
        <w:t xml:space="preserve"> </w:t>
      </w:r>
      <w:r>
        <w:t>1-3.</w:t>
      </w:r>
    </w:p>
    <w:p w:rsidR="0002524F" w:rsidRDefault="0002524F" w:rsidP="0002524F">
      <w:pPr>
        <w:pStyle w:val="Zkladntext"/>
        <w:spacing w:before="7"/>
        <w:ind w:left="0"/>
        <w:rPr>
          <w:sz w:val="23"/>
        </w:rPr>
      </w:pPr>
    </w:p>
    <w:p w:rsidR="0002524F" w:rsidRDefault="0002524F" w:rsidP="0002524F">
      <w:pPr>
        <w:pStyle w:val="Zkladntext"/>
        <w:spacing w:before="1"/>
        <w:ind w:right="828"/>
        <w:jc w:val="both"/>
      </w:pPr>
      <w:r>
        <w:t>Zkoušek se mohou účastnit všichni psi bez ohledu na velikost, rasu nebo průkaz původu  a to za podmínky plnění požadavků mezinárodního zkušebního řádu. Psovod se může v jeden den zúčastnit pouze jedné zkouškové akce. Na jedné zkouškové akci může jeden psovod předvádět nejvíce dva psy. Psovi smí být udělena během jedné zkouškové akce pouze jedna výcviková</w:t>
      </w:r>
      <w:r>
        <w:rPr>
          <w:spacing w:val="-1"/>
        </w:rPr>
        <w:t xml:space="preserve"> </w:t>
      </w:r>
      <w:r>
        <w:t>značka.</w:t>
      </w:r>
    </w:p>
    <w:p w:rsidR="0002524F" w:rsidRDefault="0002524F" w:rsidP="0002524F">
      <w:pPr>
        <w:pStyle w:val="Zkladntext"/>
        <w:spacing w:before="6"/>
        <w:ind w:left="0"/>
        <w:rPr>
          <w:sz w:val="23"/>
        </w:rPr>
      </w:pPr>
    </w:p>
    <w:p w:rsidR="0002524F" w:rsidRDefault="0002524F" w:rsidP="0002524F">
      <w:pPr>
        <w:pStyle w:val="Odstavecseseznamem"/>
        <w:numPr>
          <w:ilvl w:val="0"/>
          <w:numId w:val="1"/>
        </w:numPr>
        <w:tabs>
          <w:tab w:val="left" w:pos="1973"/>
        </w:tabs>
        <w:spacing w:line="276" w:lineRule="auto"/>
        <w:ind w:right="829"/>
        <w:jc w:val="both"/>
      </w:pPr>
      <w:r>
        <w:rPr>
          <w:b/>
        </w:rPr>
        <w:t xml:space="preserve">Háravé feny </w:t>
      </w:r>
      <w:r>
        <w:t xml:space="preserve">jsou připuštěny ke všem zkouškovým akcím, musí však být drženy odděleně od ostatních účastníků zkoušek. K přezkušování nastupují v oddíle A dle časového plánu, v ostatních oddílech jako poslední na závěr zkouškové akce. </w:t>
      </w:r>
      <w:r>
        <w:rPr>
          <w:b/>
        </w:rPr>
        <w:t xml:space="preserve">Březí feny </w:t>
      </w:r>
      <w:r>
        <w:t xml:space="preserve">ve druhé polovině březosti </w:t>
      </w:r>
      <w:r>
        <w:rPr>
          <w:b/>
        </w:rPr>
        <w:t xml:space="preserve">a kojící feny </w:t>
      </w:r>
      <w:r>
        <w:t xml:space="preserve">do 50 dnů po porodu nejsou ke zkouškám a soutěžím připuštěny. </w:t>
      </w:r>
      <w:r>
        <w:rPr>
          <w:b/>
        </w:rPr>
        <w:t xml:space="preserve">Nemocná </w:t>
      </w:r>
      <w:r>
        <w:t>a z nákazy podezřelá zvířata jsou ze všech zkouškových akcí</w:t>
      </w:r>
      <w:r>
        <w:rPr>
          <w:spacing w:val="-4"/>
        </w:rPr>
        <w:t xml:space="preserve"> </w:t>
      </w:r>
      <w:r>
        <w:t>vyloučena.</w:t>
      </w:r>
    </w:p>
    <w:p w:rsidR="0002524F" w:rsidRDefault="0002524F" w:rsidP="0002524F">
      <w:pPr>
        <w:pStyle w:val="Zkladntext"/>
        <w:ind w:left="0"/>
        <w:rPr>
          <w:sz w:val="24"/>
        </w:rPr>
      </w:pPr>
    </w:p>
    <w:p w:rsidR="0002524F" w:rsidRDefault="0002524F" w:rsidP="0002524F">
      <w:pPr>
        <w:pStyle w:val="Zkladntext"/>
        <w:spacing w:before="6"/>
        <w:ind w:left="0"/>
        <w:rPr>
          <w:sz w:val="23"/>
        </w:rPr>
      </w:pPr>
    </w:p>
    <w:p w:rsidR="0002524F" w:rsidRDefault="0002524F" w:rsidP="0002524F">
      <w:pPr>
        <w:pStyle w:val="Nadpis2"/>
        <w:numPr>
          <w:ilvl w:val="1"/>
          <w:numId w:val="7"/>
        </w:numPr>
        <w:tabs>
          <w:tab w:val="left" w:pos="1870"/>
        </w:tabs>
        <w:jc w:val="both"/>
        <w:rPr>
          <w:u w:val="none"/>
        </w:rPr>
      </w:pPr>
      <w:bookmarkStart w:id="9" w:name="_bookmark9"/>
      <w:bookmarkEnd w:id="9"/>
      <w:r>
        <w:rPr>
          <w:u w:val="thick"/>
        </w:rPr>
        <w:t>Anti dopingová nařízení a povinná vakcinace</w:t>
      </w:r>
      <w:r>
        <w:rPr>
          <w:spacing w:val="-6"/>
          <w:u w:val="thick"/>
        </w:rPr>
        <w:t xml:space="preserve"> </w:t>
      </w:r>
      <w:r>
        <w:rPr>
          <w:u w:val="thick"/>
        </w:rPr>
        <w:t>psa:</w:t>
      </w:r>
    </w:p>
    <w:p w:rsidR="0002524F" w:rsidRDefault="0002524F" w:rsidP="0002524F">
      <w:pPr>
        <w:pStyle w:val="Zkladntext"/>
        <w:spacing w:before="138"/>
        <w:ind w:right="834"/>
        <w:jc w:val="both"/>
      </w:pPr>
      <w:r>
        <w:t>Pes přihlášený jeho majitelem k účasti na zkoušce či soutěži, musí být v den akce prostý veškerých léků v jeho tkáních, tělesných tekutinách a moči, které by mohly obsahovat nepovolené látky ze seznamu zakázaných látek FCI. Seznam látek, postup pro testování zakázaných látek a případné sankce za porušení jsou zveřejněny v příslušných směrnicích</w:t>
      </w:r>
      <w:r>
        <w:rPr>
          <w:spacing w:val="-1"/>
        </w:rPr>
        <w:t xml:space="preserve"> </w:t>
      </w:r>
      <w:r>
        <w:t>FCI</w:t>
      </w:r>
    </w:p>
    <w:p w:rsidR="0002524F" w:rsidRDefault="0002524F" w:rsidP="0002524F">
      <w:pPr>
        <w:pStyle w:val="Zkladntext"/>
        <w:ind w:right="831"/>
        <w:jc w:val="both"/>
      </w:pPr>
      <w:r>
        <w:t xml:space="preserve">Pes musí mít platné </w:t>
      </w:r>
      <w:r>
        <w:rPr>
          <w:b/>
        </w:rPr>
        <w:t xml:space="preserve">očkování </w:t>
      </w:r>
      <w:r>
        <w:t>proti vzteklině zaznamenané v jeho očkovacím průkazu. Psovod je povinen na požádání předložit rozhodčímu nebo vedoucímu zkoušek očkovací průkaz psa.</w:t>
      </w:r>
    </w:p>
    <w:p w:rsidR="0002524F" w:rsidRDefault="0002524F" w:rsidP="0002524F">
      <w:pPr>
        <w:pStyle w:val="Zkladntext"/>
        <w:spacing w:before="10"/>
        <w:ind w:left="0"/>
        <w:rPr>
          <w:sz w:val="23"/>
        </w:rPr>
      </w:pPr>
    </w:p>
    <w:p w:rsidR="0002524F" w:rsidRDefault="0002524F" w:rsidP="0002524F">
      <w:pPr>
        <w:pStyle w:val="Nadpis2"/>
        <w:numPr>
          <w:ilvl w:val="1"/>
          <w:numId w:val="7"/>
        </w:numPr>
        <w:tabs>
          <w:tab w:val="left" w:pos="1870"/>
        </w:tabs>
        <w:jc w:val="both"/>
        <w:rPr>
          <w:sz w:val="22"/>
          <w:u w:val="none"/>
        </w:rPr>
      </w:pPr>
      <w:bookmarkStart w:id="10" w:name="_bookmark10"/>
      <w:bookmarkEnd w:id="10"/>
      <w:r>
        <w:rPr>
          <w:u w:val="thick"/>
        </w:rPr>
        <w:t>Společensky nepřijatelné chování - agresivita psa</w:t>
      </w:r>
      <w:r>
        <w:rPr>
          <w:sz w:val="22"/>
          <w:u w:val="none"/>
        </w:rPr>
        <w:t>:</w:t>
      </w:r>
    </w:p>
    <w:p w:rsidR="0002524F" w:rsidRDefault="0002524F" w:rsidP="0002524F">
      <w:pPr>
        <w:pStyle w:val="Zkladntext"/>
        <w:spacing w:before="136"/>
        <w:ind w:right="833"/>
        <w:jc w:val="both"/>
      </w:pPr>
      <w:r>
        <w:t>Pes, který kdykoliv během soutěže/zkoušek (před nástupem, během provádění cviků nebo po ukončení kteréhokoliv oddílu) kousne člověka nebo jiného psa, snaží se jej kousnout, napadnout nebo se pokusí o útok, je ze soutěže diskvalifikován. Všechny dosud získané body jsou odebrány a pes je diskvalifikován (DQ), a to i v případě, že již dokončil všechny 3 disciplíny. Při dvoudenní akci je diskvalifikovaný pes vyloučen z</w:t>
      </w:r>
      <w:r>
        <w:rPr>
          <w:spacing w:val="8"/>
        </w:rPr>
        <w:t xml:space="preserve"> </w:t>
      </w:r>
      <w:r>
        <w:t>účasti</w:t>
      </w:r>
    </w:p>
    <w:p w:rsidR="0002524F" w:rsidRDefault="0002524F" w:rsidP="0002524F">
      <w:pPr>
        <w:jc w:val="both"/>
        <w:sectPr w:rsidR="0002524F">
          <w:pgSz w:w="11910" w:h="16840"/>
          <w:pgMar w:top="1580" w:right="300" w:bottom="1480" w:left="740" w:header="0" w:footer="1265" w:gutter="0"/>
          <w:cols w:space="708"/>
        </w:sectPr>
      </w:pPr>
    </w:p>
    <w:p w:rsidR="0002524F" w:rsidRDefault="0002524F" w:rsidP="0002524F">
      <w:pPr>
        <w:pStyle w:val="Zkladntext"/>
        <w:spacing w:before="101"/>
        <w:ind w:right="831"/>
        <w:jc w:val="both"/>
      </w:pPr>
      <w:r>
        <w:lastRenderedPageBreak/>
        <w:t>a v dalším dni soutěže již nepokračuje. V případě okamžité diskvalifikace z důvodu agresivity psa, je nařízeno opakované absolvování zkoušky BH-VT včetně povahového testu.</w:t>
      </w:r>
    </w:p>
    <w:p w:rsidR="0002524F" w:rsidRDefault="0002524F" w:rsidP="0002524F">
      <w:pPr>
        <w:pStyle w:val="Zkladntext"/>
        <w:ind w:right="830"/>
        <w:jc w:val="both"/>
      </w:pPr>
      <w:r>
        <w:t>Bez úspěšného opakování a znovu zapsání zkoušky BH-VT ve výkonnostním průkazu psa, se takto diskvalifikovaný pes nesmí zúčastnit jiné zkoušky nebo soutěže.</w:t>
      </w:r>
    </w:p>
    <w:p w:rsidR="0002524F" w:rsidRDefault="0002524F" w:rsidP="0002524F">
      <w:pPr>
        <w:pStyle w:val="Zkladntext"/>
        <w:ind w:right="827"/>
        <w:jc w:val="both"/>
      </w:pPr>
      <w:r>
        <w:t>Rozhodčí zapíše do výkonnostního průkazu psa a výsledkové listiny následující: "Diskvalifikace z důvodu agresivity psa, pes musí být znovu předveden na zkoušce BH- VT s povahovým</w:t>
      </w:r>
      <w:r>
        <w:rPr>
          <w:spacing w:val="1"/>
        </w:rPr>
        <w:t xml:space="preserve"> </w:t>
      </w:r>
      <w:r>
        <w:t>testem."</w:t>
      </w:r>
    </w:p>
    <w:p w:rsidR="0002524F" w:rsidRDefault="0002524F" w:rsidP="0002524F">
      <w:pPr>
        <w:pStyle w:val="Zkladntext"/>
        <w:spacing w:before="10"/>
        <w:ind w:left="0"/>
        <w:rPr>
          <w:sz w:val="23"/>
        </w:rPr>
      </w:pPr>
    </w:p>
    <w:p w:rsidR="0002524F" w:rsidRDefault="0002524F" w:rsidP="0002524F">
      <w:pPr>
        <w:pStyle w:val="Nadpis2"/>
        <w:numPr>
          <w:ilvl w:val="1"/>
          <w:numId w:val="7"/>
        </w:numPr>
        <w:tabs>
          <w:tab w:val="left" w:pos="1870"/>
        </w:tabs>
        <w:jc w:val="both"/>
        <w:rPr>
          <w:u w:val="none"/>
        </w:rPr>
      </w:pPr>
      <w:bookmarkStart w:id="11" w:name="_bookmark11"/>
      <w:bookmarkEnd w:id="11"/>
      <w:r>
        <w:rPr>
          <w:u w:val="thick"/>
        </w:rPr>
        <w:t>Tělesně postižení</w:t>
      </w:r>
      <w:r>
        <w:rPr>
          <w:spacing w:val="-1"/>
          <w:u w:val="thick"/>
        </w:rPr>
        <w:t xml:space="preserve"> </w:t>
      </w:r>
      <w:r>
        <w:rPr>
          <w:u w:val="thick"/>
        </w:rPr>
        <w:t>psovodi:</w:t>
      </w:r>
    </w:p>
    <w:p w:rsidR="0002524F" w:rsidRDefault="0002524F" w:rsidP="0002524F">
      <w:pPr>
        <w:pStyle w:val="Zkladntext"/>
        <w:spacing w:before="135"/>
        <w:ind w:right="832"/>
        <w:jc w:val="both"/>
      </w:pPr>
      <w:r>
        <w:t>Jestliže psovod není schopen kvůli svému postižení vykonat určitý cvik dle ustanovení zkušebního řádu, musí o této skutečnosti informovat rozhodčího a to ještě před zahájením zkoušek či závodu. Tělesně postižení psovodi, kterým postižení nedovoluje vodit psa po levé straně, jej mohou vodit u nohy vpravo. V tomto případě platí ustanovení o vedení psa vlevo uvedená ve zkušebním řádu obdobně pro stranu pravou.</w:t>
      </w:r>
    </w:p>
    <w:p w:rsidR="0002524F" w:rsidRDefault="0002524F" w:rsidP="0002524F">
      <w:pPr>
        <w:pStyle w:val="Zkladntext"/>
        <w:spacing w:before="3"/>
        <w:ind w:left="0"/>
      </w:pPr>
    </w:p>
    <w:p w:rsidR="0002524F" w:rsidRDefault="0002524F" w:rsidP="0002524F">
      <w:pPr>
        <w:pStyle w:val="Nadpis2"/>
        <w:numPr>
          <w:ilvl w:val="1"/>
          <w:numId w:val="7"/>
        </w:numPr>
        <w:tabs>
          <w:tab w:val="left" w:pos="1870"/>
        </w:tabs>
        <w:spacing w:before="1"/>
        <w:jc w:val="both"/>
        <w:rPr>
          <w:u w:val="none"/>
        </w:rPr>
      </w:pPr>
      <w:bookmarkStart w:id="12" w:name="_bookmark12"/>
      <w:bookmarkEnd w:id="12"/>
      <w:r>
        <w:rPr>
          <w:u w:val="thick"/>
        </w:rPr>
        <w:t>Používání obojku a</w:t>
      </w:r>
      <w:r>
        <w:rPr>
          <w:spacing w:val="-1"/>
          <w:u w:val="thick"/>
        </w:rPr>
        <w:t xml:space="preserve"> </w:t>
      </w:r>
      <w:r>
        <w:rPr>
          <w:u w:val="thick"/>
        </w:rPr>
        <w:t>vodítka:</w:t>
      </w:r>
    </w:p>
    <w:p w:rsidR="0002524F" w:rsidRDefault="0002524F" w:rsidP="0002524F">
      <w:pPr>
        <w:pStyle w:val="Zkladntext"/>
        <w:spacing w:before="135"/>
        <w:ind w:right="830"/>
        <w:jc w:val="both"/>
      </w:pPr>
      <w:r>
        <w:t>Z bezpečnostně-právních důvodů musí mít psovod po celou dobu trvání zkoušek u sebe vodítko, zavěšené na rameni (karabinou na odvrácené straně od psa), nebo ho nosí ukryté.</w:t>
      </w:r>
    </w:p>
    <w:p w:rsidR="0002524F" w:rsidRDefault="0002524F" w:rsidP="0002524F">
      <w:pPr>
        <w:pStyle w:val="Zkladntext"/>
        <w:spacing w:line="252" w:lineRule="exact"/>
        <w:jc w:val="both"/>
      </w:pPr>
      <w:r>
        <w:t>Pes musí mít po celou dobu zkoušky obojek.</w:t>
      </w:r>
    </w:p>
    <w:p w:rsidR="0002524F" w:rsidRDefault="0002524F" w:rsidP="0002524F">
      <w:pPr>
        <w:pStyle w:val="Zkladntext"/>
        <w:spacing w:before="1"/>
        <w:ind w:right="830"/>
        <w:jc w:val="both"/>
      </w:pPr>
      <w:r>
        <w:t>Obojkem se rozumí obyčejný, jednořadý, kovový řetízkový obojek z oček 10 x 20 – 60 mm, o délce přiměřené k plemeni, na obou koncích zakončený navařeným kovovým kroužkem o průměru 30 mm. (viz. Řád ochrany zvířat při zkouškách a svodech psů, Čl.6). Jednotlivé články musí být bez ostnů, bodců nebo háčků. Pes musí mít obojek na krku volně, nesmí být nastaven na stahování. Takzvané antiparazitní obojky musí být před zkouškou sundány. Kožené, látkové nebo silonové obojky nejsou</w:t>
      </w:r>
      <w:r>
        <w:rPr>
          <w:spacing w:val="-10"/>
        </w:rPr>
        <w:t xml:space="preserve"> </w:t>
      </w:r>
      <w:r>
        <w:t>povoleny.</w:t>
      </w:r>
    </w:p>
    <w:p w:rsidR="0002524F" w:rsidRDefault="0002524F" w:rsidP="0002524F">
      <w:pPr>
        <w:pStyle w:val="Zkladntext"/>
        <w:ind w:right="834"/>
        <w:jc w:val="both"/>
      </w:pPr>
      <w:r>
        <w:t>Typ řetízkového obojku, co se týče jeho hmotnosti, by se neměl výrazně odlišovat od běžně prodávaných obojků. Pokud má rozhodčí o typu obojku jakékoliv pochybnosti, může požadovat jeho výměnu. Případná výměna obojku však musí proběhnout před začátkem daného oddílu. Tomu musí rozhodčí věnovat pozornost po celou dobu zkoušky. V případě úmyslného podvodu (skryté ostny apod.) je rozhodčí povinen účastníka ze zkoušky diskvalifikovat. V tomto případě provádí zápis: „Diskvalifikace z důvodu nesportovního chování.“ Všechny dosud udělené body se</w:t>
      </w:r>
      <w:r>
        <w:rPr>
          <w:spacing w:val="-9"/>
        </w:rPr>
        <w:t xml:space="preserve"> </w:t>
      </w:r>
      <w:r>
        <w:t>odejmou.</w:t>
      </w:r>
    </w:p>
    <w:p w:rsidR="0002524F" w:rsidRDefault="0002524F" w:rsidP="0002524F">
      <w:pPr>
        <w:pStyle w:val="Zkladntext"/>
        <w:ind w:left="1245" w:right="1745"/>
      </w:pPr>
      <w:r>
        <w:t>Při vypracování stopy může mít pes kromě řetízkového obojku i stopovací postroj.</w:t>
      </w:r>
    </w:p>
    <w:p w:rsidR="0002524F" w:rsidRDefault="0002524F" w:rsidP="0002524F">
      <w:pPr>
        <w:pStyle w:val="Zkladntext"/>
        <w:spacing w:before="11"/>
        <w:ind w:left="0"/>
        <w:rPr>
          <w:sz w:val="23"/>
        </w:rPr>
      </w:pPr>
    </w:p>
    <w:p w:rsidR="0002524F" w:rsidRDefault="0002524F" w:rsidP="0002524F">
      <w:pPr>
        <w:pStyle w:val="Nadpis2"/>
        <w:numPr>
          <w:ilvl w:val="1"/>
          <w:numId w:val="7"/>
        </w:numPr>
        <w:tabs>
          <w:tab w:val="left" w:pos="1870"/>
        </w:tabs>
        <w:jc w:val="both"/>
        <w:rPr>
          <w:u w:val="none"/>
        </w:rPr>
      </w:pPr>
      <w:bookmarkStart w:id="13" w:name="_bookmark13"/>
      <w:bookmarkEnd w:id="13"/>
      <w:r>
        <w:rPr>
          <w:u w:val="thick"/>
        </w:rPr>
        <w:t>Odpovědnost:</w:t>
      </w:r>
    </w:p>
    <w:p w:rsidR="0002524F" w:rsidRDefault="0002524F" w:rsidP="0002524F">
      <w:pPr>
        <w:pStyle w:val="Zkladntext"/>
        <w:spacing w:before="136"/>
        <w:ind w:right="833"/>
        <w:jc w:val="both"/>
      </w:pPr>
      <w:r>
        <w:t>Majitel psa je zodpovědný za všechny škody na osobách a věcech způsobených jeho psem v průběhu celé zkouškové akce. Pokyny udílené rozhodčím, případně pořadatelem, plní psovod dobrovolně a na vlastní riziko.</w:t>
      </w:r>
    </w:p>
    <w:p w:rsidR="0002524F" w:rsidRDefault="0002524F" w:rsidP="0002524F">
      <w:pPr>
        <w:pStyle w:val="Zkladntext"/>
        <w:spacing w:before="2"/>
        <w:ind w:left="0"/>
      </w:pPr>
    </w:p>
    <w:p w:rsidR="0002524F" w:rsidRDefault="0002524F" w:rsidP="0002524F">
      <w:pPr>
        <w:pStyle w:val="Nadpis2"/>
        <w:numPr>
          <w:ilvl w:val="1"/>
          <w:numId w:val="7"/>
        </w:numPr>
        <w:tabs>
          <w:tab w:val="left" w:pos="1870"/>
        </w:tabs>
        <w:jc w:val="both"/>
        <w:rPr>
          <w:u w:val="none"/>
        </w:rPr>
      </w:pPr>
      <w:bookmarkStart w:id="14" w:name="_bookmark14"/>
      <w:bookmarkEnd w:id="14"/>
      <w:r>
        <w:rPr>
          <w:u w:val="thick"/>
        </w:rPr>
        <w:t>Vyhlašování vítězů / Udílení</w:t>
      </w:r>
      <w:r>
        <w:rPr>
          <w:spacing w:val="-1"/>
          <w:u w:val="thick"/>
        </w:rPr>
        <w:t xml:space="preserve"> </w:t>
      </w:r>
      <w:r>
        <w:rPr>
          <w:u w:val="thick"/>
        </w:rPr>
        <w:t>cen</w:t>
      </w:r>
    </w:p>
    <w:p w:rsidR="0002524F" w:rsidRDefault="0002524F" w:rsidP="0002524F">
      <w:pPr>
        <w:pStyle w:val="Zkladntext"/>
        <w:spacing w:before="136"/>
        <w:ind w:left="1242" w:right="1254"/>
      </w:pPr>
      <w:r>
        <w:t>Vyhlašování vítězů může být prováděno odděleně podle jednotlivých druhů zkoušek -: IGP1-3, IFH-1, IFH-2, IGP-FH, BH-VT.</w:t>
      </w:r>
    </w:p>
    <w:p w:rsidR="0002524F" w:rsidRDefault="0002524F" w:rsidP="0002524F">
      <w:pPr>
        <w:pStyle w:val="Zkladntext"/>
        <w:ind w:right="829"/>
        <w:jc w:val="both"/>
      </w:pPr>
      <w:r>
        <w:t>Při stejném počtu bodů u zkoušky IGP stupně 1 - 3 rozhoduje výsledek v oddíle C., Pokud by i ten byl stejný, rozhoduje počet bodů v oddíle B. Při rovnosti bodů ve všech třech oddílech, se udělí stejné umístění nezávisle na stupni zkoušky. Opakovatelé zkoušek se ve stupních 1 a 2 v hodnocení nezohledňují a jsou v pořadí zařazeni nakonec. Vyhlašování vítězů se zúčastní všichni účastníci akce. Zkouška končí až vyhlášením vítězů a odevzdáním výkonnostních knížek.</w:t>
      </w:r>
    </w:p>
    <w:p w:rsidR="0002524F" w:rsidRDefault="0002524F" w:rsidP="0002524F">
      <w:pPr>
        <w:jc w:val="both"/>
        <w:sectPr w:rsidR="0002524F">
          <w:pgSz w:w="11910" w:h="16840"/>
          <w:pgMar w:top="1580" w:right="300" w:bottom="1460" w:left="740" w:header="0" w:footer="1265" w:gutter="0"/>
          <w:cols w:space="708"/>
        </w:sectPr>
      </w:pPr>
    </w:p>
    <w:p w:rsidR="0002524F" w:rsidRDefault="0002524F" w:rsidP="0002524F">
      <w:pPr>
        <w:pStyle w:val="Nadpis2"/>
        <w:numPr>
          <w:ilvl w:val="1"/>
          <w:numId w:val="7"/>
        </w:numPr>
        <w:tabs>
          <w:tab w:val="left" w:pos="1870"/>
        </w:tabs>
        <w:spacing w:before="102"/>
        <w:jc w:val="both"/>
        <w:rPr>
          <w:sz w:val="22"/>
          <w:u w:val="none"/>
        </w:rPr>
      </w:pPr>
      <w:bookmarkStart w:id="15" w:name="_bookmark15"/>
      <w:bookmarkEnd w:id="15"/>
      <w:r>
        <w:rPr>
          <w:u w:val="thick"/>
        </w:rPr>
        <w:lastRenderedPageBreak/>
        <w:t>Výkonnostní</w:t>
      </w:r>
      <w:r>
        <w:rPr>
          <w:spacing w:val="-1"/>
          <w:u w:val="thick"/>
        </w:rPr>
        <w:t xml:space="preserve"> </w:t>
      </w:r>
      <w:r>
        <w:rPr>
          <w:u w:val="thick"/>
        </w:rPr>
        <w:t>tituly</w:t>
      </w:r>
      <w:r>
        <w:rPr>
          <w:sz w:val="22"/>
          <w:u w:val="none"/>
        </w:rPr>
        <w:t>:</w:t>
      </w:r>
    </w:p>
    <w:p w:rsidR="0002524F" w:rsidRDefault="0002524F" w:rsidP="0002524F">
      <w:pPr>
        <w:pStyle w:val="Zkladntext"/>
        <w:spacing w:before="136"/>
        <w:ind w:right="834"/>
        <w:jc w:val="both"/>
      </w:pPr>
      <w:r>
        <w:t>Titul „Mezinárodní šampión práce“ (CACIT) uděluje na žádost psovoda FCI prostřednictvím příslušné národní organizace. Získání CACITu a Reserve CACITu je možno na soutěžích, které k jejich zadání obdržely oprávnění od FCI a konají se dle nejvyššího stupně dané zkoušky. K CACITové soutěži musí být pozvány všechny národní organizace FCI. Takovou soutěž musí posuzovat nejméně dva rozhodčí, z nich nejméně jeden musí být z jiné než pořadatelské národní organizace.</w:t>
      </w:r>
    </w:p>
    <w:p w:rsidR="0002524F" w:rsidRDefault="0002524F" w:rsidP="0002524F">
      <w:pPr>
        <w:pStyle w:val="Zkladntext"/>
        <w:spacing w:before="1"/>
        <w:ind w:right="1240"/>
      </w:pPr>
      <w:r>
        <w:t>Zadání se provádí na návrh rozhodčích. Pro udělení CACITu nebo Reserve CACITu mohou být navrženi pouze psi, kteří:</w:t>
      </w:r>
    </w:p>
    <w:p w:rsidR="0002524F" w:rsidRDefault="0002524F" w:rsidP="0002524F">
      <w:pPr>
        <w:pStyle w:val="Odstavecseseznamem"/>
        <w:numPr>
          <w:ilvl w:val="1"/>
          <w:numId w:val="6"/>
        </w:numPr>
        <w:tabs>
          <w:tab w:val="left" w:pos="1406"/>
        </w:tabs>
        <w:spacing w:before="1"/>
        <w:jc w:val="both"/>
      </w:pPr>
      <w:r>
        <w:t>získali na výstavě nejméně známku „Velmi</w:t>
      </w:r>
      <w:r>
        <w:rPr>
          <w:spacing w:val="-4"/>
        </w:rPr>
        <w:t xml:space="preserve"> </w:t>
      </w:r>
      <w:r>
        <w:t>dobrý“</w:t>
      </w:r>
    </w:p>
    <w:p w:rsidR="0002524F" w:rsidRDefault="0002524F" w:rsidP="0002524F">
      <w:pPr>
        <w:pStyle w:val="Odstavecseseznamem"/>
        <w:numPr>
          <w:ilvl w:val="1"/>
          <w:numId w:val="6"/>
        </w:numPr>
        <w:tabs>
          <w:tab w:val="left" w:pos="1406"/>
        </w:tabs>
        <w:spacing w:before="11"/>
        <w:jc w:val="both"/>
      </w:pPr>
      <w:r>
        <w:t>získali v soutěži nejméně známku „Velmi</w:t>
      </w:r>
      <w:r>
        <w:rPr>
          <w:spacing w:val="-7"/>
        </w:rPr>
        <w:t xml:space="preserve"> </w:t>
      </w:r>
      <w:r>
        <w:t>dobře“.</w:t>
      </w:r>
    </w:p>
    <w:p w:rsidR="0002524F" w:rsidRDefault="0002524F" w:rsidP="0002524F">
      <w:pPr>
        <w:pStyle w:val="Zkladntext"/>
        <w:spacing w:before="5"/>
        <w:ind w:left="0"/>
        <w:rPr>
          <w:sz w:val="23"/>
        </w:rPr>
      </w:pPr>
    </w:p>
    <w:p w:rsidR="0002524F" w:rsidRDefault="0002524F" w:rsidP="0002524F">
      <w:pPr>
        <w:pStyle w:val="Zkladntext"/>
        <w:ind w:left="1806"/>
      </w:pPr>
      <w:r>
        <w:t>Udělení CACITu není automaticky vázáno na dosažené umístění.</w:t>
      </w:r>
    </w:p>
    <w:p w:rsidR="0002524F" w:rsidRDefault="0002524F" w:rsidP="0002524F">
      <w:pPr>
        <w:pStyle w:val="Odstavecseseznamem"/>
        <w:numPr>
          <w:ilvl w:val="1"/>
          <w:numId w:val="6"/>
        </w:numPr>
        <w:tabs>
          <w:tab w:val="left" w:pos="1406"/>
        </w:tabs>
        <w:spacing w:before="2" w:line="247" w:lineRule="auto"/>
        <w:ind w:right="835"/>
      </w:pPr>
      <w:r>
        <w:t>patří k plemenům 1., 2. a 3. skupiny FCI, u kterých se požaduje zkouška z výkonu (pracovní a stopařští</w:t>
      </w:r>
      <w:r>
        <w:rPr>
          <w:spacing w:val="-8"/>
        </w:rPr>
        <w:t xml:space="preserve"> </w:t>
      </w:r>
      <w:r>
        <w:t>psi).</w:t>
      </w:r>
    </w:p>
    <w:p w:rsidR="0002524F" w:rsidRDefault="0002524F" w:rsidP="0002524F">
      <w:pPr>
        <w:pStyle w:val="Zkladntext"/>
        <w:spacing w:before="9"/>
        <w:ind w:left="0"/>
        <w:rPr>
          <w:sz w:val="23"/>
        </w:rPr>
      </w:pPr>
    </w:p>
    <w:p w:rsidR="0002524F" w:rsidRDefault="0002524F" w:rsidP="0002524F">
      <w:pPr>
        <w:pStyle w:val="Zkladntext"/>
        <w:ind w:right="1566"/>
        <w:jc w:val="both"/>
      </w:pPr>
      <w:r>
        <w:t>Podmínky pro udělování titulu „Národní šampión práce“ určují jednotlivé národní organizace. Při soutěži je může být udělen pouze jeden (1) CACIT a jeden (1) rezervní CACIT.</w:t>
      </w:r>
    </w:p>
    <w:p w:rsidR="0002524F" w:rsidRDefault="0002524F" w:rsidP="0002524F">
      <w:pPr>
        <w:pStyle w:val="Zkladntext"/>
        <w:spacing w:before="2"/>
        <w:ind w:left="0"/>
      </w:pPr>
    </w:p>
    <w:p w:rsidR="0002524F" w:rsidRDefault="0002524F" w:rsidP="0002524F">
      <w:pPr>
        <w:pStyle w:val="Nadpis2"/>
        <w:numPr>
          <w:ilvl w:val="1"/>
          <w:numId w:val="7"/>
        </w:numPr>
        <w:tabs>
          <w:tab w:val="left" w:pos="1870"/>
        </w:tabs>
        <w:jc w:val="both"/>
        <w:rPr>
          <w:u w:val="none"/>
        </w:rPr>
      </w:pPr>
      <w:bookmarkStart w:id="16" w:name="_bookmark16"/>
      <w:bookmarkEnd w:id="16"/>
      <w:r>
        <w:rPr>
          <w:u w:val="thick"/>
        </w:rPr>
        <w:t>Výkonnostní</w:t>
      </w:r>
      <w:r>
        <w:rPr>
          <w:spacing w:val="-3"/>
          <w:u w:val="thick"/>
        </w:rPr>
        <w:t xml:space="preserve"> </w:t>
      </w:r>
      <w:r>
        <w:rPr>
          <w:u w:val="thick"/>
        </w:rPr>
        <w:t>knížka:</w:t>
      </w:r>
    </w:p>
    <w:p w:rsidR="0002524F" w:rsidRDefault="0002524F" w:rsidP="0002524F">
      <w:pPr>
        <w:pStyle w:val="Zkladntext"/>
        <w:spacing w:before="136"/>
        <w:ind w:right="834"/>
        <w:jc w:val="both"/>
      </w:pPr>
      <w:r>
        <w:t>Výkonnostní průkaz psa je povinný pro každého zúčastněného psa. Jeho vydání provádí příslušná národní organizace podle vlastních předpisů. Pro jednoho psa smí být vystaven pouze jeden výkonnostní průkaz. Do výkonnostního průkazu psa se zapisuje výsledek každé zkoušky, který podepisuje a kontroluje rozhodčí spolu s vedoucím zkoušek. Výkonnostní průkaz psa musí obsahovat číslo zápisu v plemenné knize nebo číslo psa v registru, jméno (případně chovatelskou stanici) a plemeno psa, identifikaci psa (tetování, čip), jméno a adresa majitele psa, body získané v oddíle A, B, C, popř. D a celkový počet bodů, dosaženou známku, hodnocení TSB (na určených akcích), podpis vedoucího zkoušek, jméno rozhodčího a jeho podpis.</w:t>
      </w:r>
    </w:p>
    <w:p w:rsidR="0002524F" w:rsidRDefault="0002524F" w:rsidP="0002524F">
      <w:pPr>
        <w:pStyle w:val="Zkladntext"/>
        <w:ind w:left="0"/>
        <w:rPr>
          <w:sz w:val="24"/>
        </w:rPr>
      </w:pPr>
    </w:p>
    <w:p w:rsidR="0002524F" w:rsidRDefault="0002524F" w:rsidP="0002524F">
      <w:pPr>
        <w:pStyle w:val="Nadpis2"/>
        <w:numPr>
          <w:ilvl w:val="1"/>
          <w:numId w:val="7"/>
        </w:numPr>
        <w:tabs>
          <w:tab w:val="left" w:pos="1870"/>
        </w:tabs>
        <w:jc w:val="both"/>
        <w:rPr>
          <w:sz w:val="22"/>
          <w:u w:val="none"/>
        </w:rPr>
      </w:pPr>
      <w:bookmarkStart w:id="17" w:name="_bookmark17"/>
      <w:bookmarkEnd w:id="17"/>
      <w:r>
        <w:rPr>
          <w:u w:val="thick"/>
        </w:rPr>
        <w:t>Hodnocení TSB v oddílu C (platí pro všechny stupně</w:t>
      </w:r>
      <w:r>
        <w:rPr>
          <w:spacing w:val="-5"/>
          <w:u w:val="thick"/>
        </w:rPr>
        <w:t xml:space="preserve"> </w:t>
      </w:r>
      <w:r>
        <w:rPr>
          <w:u w:val="thick"/>
        </w:rPr>
        <w:t>zkoušek</w:t>
      </w:r>
      <w:r>
        <w:rPr>
          <w:sz w:val="22"/>
          <w:u w:val="none"/>
        </w:rPr>
        <w:t>):</w:t>
      </w:r>
    </w:p>
    <w:p w:rsidR="0002524F" w:rsidRDefault="0002524F" w:rsidP="0002524F">
      <w:pPr>
        <w:pStyle w:val="Zkladntext"/>
        <w:spacing w:before="135"/>
        <w:ind w:right="834"/>
        <w:jc w:val="both"/>
      </w:pPr>
      <w:r>
        <w:t>Hodnocení TSB, které provádí rozhodčí při hodnocení oddílu C a zapisuje do VK, vyjadřuje povahové vlohy psa s ohledem pro jeho využití v chovu. Hodnocení TSB nemá žádný vliv na výsledek zkoušky, případně na pořadí.</w:t>
      </w:r>
    </w:p>
    <w:p w:rsidR="0002524F" w:rsidRDefault="0002524F" w:rsidP="0002524F">
      <w:pPr>
        <w:ind w:left="1252"/>
        <w:rPr>
          <w:b/>
        </w:rPr>
      </w:pPr>
      <w:r>
        <w:t xml:space="preserve">Hodnocením „výrazný“ (a), „dostatečný“ (vh) a „nedostatečný“ (ng), se hodnotí následující vlastnosti: </w:t>
      </w:r>
      <w:r>
        <w:rPr>
          <w:b/>
        </w:rPr>
        <w:t>Vrozené dispozice psa, sebevědomí a odolnost psa při zátěži.</w:t>
      </w:r>
    </w:p>
    <w:p w:rsidR="0002524F" w:rsidRDefault="0002524F" w:rsidP="0002524F">
      <w:pPr>
        <w:pStyle w:val="Zkladntext"/>
        <w:spacing w:before="8"/>
        <w:ind w:left="0"/>
        <w:rPr>
          <w:b/>
          <w:sz w:val="21"/>
        </w:rPr>
      </w:pPr>
    </w:p>
    <w:p w:rsidR="0002524F" w:rsidRDefault="0002524F" w:rsidP="0002524F">
      <w:pPr>
        <w:ind w:left="1252"/>
        <w:rPr>
          <w:b/>
        </w:rPr>
      </w:pPr>
      <w:r>
        <w:rPr>
          <w:b/>
        </w:rPr>
        <w:t>TSB "a"</w:t>
      </w:r>
      <w:r>
        <w:rPr>
          <w:b/>
          <w:spacing w:val="-13"/>
        </w:rPr>
        <w:t xml:space="preserve"> </w:t>
      </w:r>
      <w:r>
        <w:rPr>
          <w:b/>
        </w:rPr>
        <w:t>(výrazný)</w:t>
      </w:r>
    </w:p>
    <w:p w:rsidR="0002524F" w:rsidRDefault="0002524F" w:rsidP="0002524F">
      <w:pPr>
        <w:pStyle w:val="Zkladntext"/>
        <w:spacing w:before="14"/>
        <w:ind w:right="832"/>
        <w:jc w:val="both"/>
      </w:pPr>
      <w:r>
        <w:t>Obdrží pes s velkou ochotou k práci, zřetelnými pudovým chováním, cílevědomou snahou k provedení cviků, sebejistým vystupováním, neomezenou pozorností a mimořádně vysokou</w:t>
      </w:r>
      <w:r>
        <w:rPr>
          <w:spacing w:val="-1"/>
        </w:rPr>
        <w:t xml:space="preserve"> </w:t>
      </w:r>
      <w:r>
        <w:t>odolností.</w:t>
      </w:r>
    </w:p>
    <w:p w:rsidR="0002524F" w:rsidRDefault="0002524F" w:rsidP="0002524F">
      <w:pPr>
        <w:spacing w:line="250" w:lineRule="exact"/>
        <w:ind w:left="1252"/>
        <w:rPr>
          <w:b/>
        </w:rPr>
      </w:pPr>
      <w:r>
        <w:rPr>
          <w:b/>
        </w:rPr>
        <w:t>TSB "vh" (dostačující)</w:t>
      </w:r>
    </w:p>
    <w:p w:rsidR="0002524F" w:rsidRDefault="0002524F" w:rsidP="0002524F">
      <w:pPr>
        <w:pStyle w:val="Zkladntext"/>
        <w:spacing w:before="12"/>
        <w:ind w:right="1240"/>
      </w:pPr>
      <w:r>
        <w:t>Obdrží pes, který prokazuje určitá omezení v ochotě k práci, v pudovém chování, v sebejistotě, v pozornosti a v odolnosti.</w:t>
      </w:r>
    </w:p>
    <w:p w:rsidR="0002524F" w:rsidRDefault="0002524F" w:rsidP="0002524F">
      <w:pPr>
        <w:spacing w:line="251" w:lineRule="exact"/>
        <w:ind w:left="1252"/>
      </w:pPr>
      <w:r>
        <w:rPr>
          <w:b/>
        </w:rPr>
        <w:t>TSB „ng" (nedostačující)</w:t>
      </w:r>
      <w:r>
        <w:t>.</w:t>
      </w:r>
    </w:p>
    <w:p w:rsidR="0002524F" w:rsidRDefault="0002524F" w:rsidP="0002524F">
      <w:pPr>
        <w:pStyle w:val="Zkladntext"/>
        <w:spacing w:before="3"/>
        <w:ind w:right="840"/>
      </w:pPr>
      <w:r>
        <w:t>Obdrží pes, který vykazuje nedostatky v ochotě k práci, nedostatečné pudové chování, chybějící sebejistotu a nedostatečnou odolnost.</w:t>
      </w:r>
    </w:p>
    <w:p w:rsidR="0002524F" w:rsidRDefault="0002524F" w:rsidP="0002524F">
      <w:pPr>
        <w:spacing w:line="249" w:lineRule="auto"/>
        <w:ind w:left="1252" w:right="2948"/>
        <w:jc w:val="both"/>
        <w:rPr>
          <w:b/>
        </w:rPr>
      </w:pPr>
      <w:r>
        <w:rPr>
          <w:b/>
        </w:rPr>
        <w:t>TSB se zadává u všech zkoušek, u kterých se provádí oddíl C - obrana. TSB se nezadává jen v případě, je-li pes diskvalifikován.</w:t>
      </w:r>
    </w:p>
    <w:p w:rsidR="0002524F" w:rsidRDefault="0002524F" w:rsidP="0002524F">
      <w:pPr>
        <w:spacing w:line="249" w:lineRule="auto"/>
        <w:jc w:val="both"/>
        <w:sectPr w:rsidR="0002524F">
          <w:pgSz w:w="11910" w:h="16840"/>
          <w:pgMar w:top="1580" w:right="300" w:bottom="1520" w:left="740" w:header="0" w:footer="1265" w:gutter="0"/>
          <w:cols w:space="708"/>
        </w:sectPr>
      </w:pPr>
    </w:p>
    <w:p w:rsidR="0002524F" w:rsidRDefault="0002524F" w:rsidP="0002524F">
      <w:pPr>
        <w:pStyle w:val="Zkladntext"/>
        <w:spacing w:before="10"/>
        <w:ind w:left="0"/>
        <w:rPr>
          <w:b/>
          <w:sz w:val="24"/>
        </w:rPr>
      </w:pPr>
    </w:p>
    <w:p w:rsidR="0002524F" w:rsidRDefault="0002524F" w:rsidP="0002524F">
      <w:pPr>
        <w:pStyle w:val="Nadpis2"/>
        <w:numPr>
          <w:ilvl w:val="1"/>
          <w:numId w:val="7"/>
        </w:numPr>
        <w:tabs>
          <w:tab w:val="left" w:pos="1869"/>
          <w:tab w:val="left" w:pos="1870"/>
        </w:tabs>
        <w:spacing w:before="90"/>
        <w:rPr>
          <w:u w:val="none"/>
        </w:rPr>
      </w:pPr>
      <w:bookmarkStart w:id="18" w:name="_bookmark18"/>
      <w:bookmarkEnd w:id="18"/>
      <w:r>
        <w:rPr>
          <w:u w:val="thick"/>
        </w:rPr>
        <w:t>Povelová</w:t>
      </w:r>
      <w:r>
        <w:rPr>
          <w:spacing w:val="1"/>
          <w:u w:val="thick"/>
        </w:rPr>
        <w:t xml:space="preserve"> </w:t>
      </w:r>
      <w:r>
        <w:rPr>
          <w:u w:val="thick"/>
        </w:rPr>
        <w:t>technika:</w:t>
      </w:r>
    </w:p>
    <w:p w:rsidR="0002524F" w:rsidRDefault="0002524F" w:rsidP="0002524F">
      <w:pPr>
        <w:pStyle w:val="Zkladntext"/>
        <w:spacing w:before="135"/>
        <w:ind w:right="833"/>
        <w:jc w:val="both"/>
      </w:pPr>
      <w:r>
        <w:t>Zvukové povely jsou dané zkušebním řádem. Zvukové povely jsou zpravidla normálně vyslovované, krátké povely, sestávající z jednoho slova. Zvukové povely je možné vydávat v mateřském jazyce. Mohou být také vyslovovány v jakémkoliv jazyce, ale pro všechny cviky musí být použit stejný jazyk. Pro všechny oddíly dané zkoušky rovněž platí, že pro jednu a tutéž požadovanou činnost musí být zvukové povely</w:t>
      </w:r>
      <w:r>
        <w:rPr>
          <w:spacing w:val="-19"/>
        </w:rPr>
        <w:t xml:space="preserve"> </w:t>
      </w:r>
      <w:r>
        <w:t>stejné.</w:t>
      </w:r>
    </w:p>
    <w:p w:rsidR="0002524F" w:rsidRDefault="0002524F" w:rsidP="0002524F">
      <w:pPr>
        <w:pStyle w:val="Zkladntext"/>
        <w:ind w:right="828"/>
        <w:jc w:val="both"/>
      </w:pPr>
      <w:r>
        <w:t>Pro přivolání může být použito i jméno psa. V takovém případě však jméno psa nahrazuje povel pro přivolání. V průběhu cviku vyhledání figuranta může být povel "ke mě" použit i ve spojení se jménem psa. V ostatních případech, kdy je jméno psa použito ve spojení s jakýmkoli povelem, je toto považováno za druhý</w:t>
      </w:r>
      <w:r>
        <w:rPr>
          <w:spacing w:val="-7"/>
        </w:rPr>
        <w:t xml:space="preserve"> </w:t>
      </w:r>
      <w:r>
        <w:t>povel.</w:t>
      </w:r>
    </w:p>
    <w:p w:rsidR="0002524F" w:rsidRDefault="0002524F" w:rsidP="0002524F">
      <w:pPr>
        <w:pStyle w:val="Zkladntext"/>
        <w:spacing w:before="9"/>
        <w:ind w:left="0"/>
        <w:rPr>
          <w:sz w:val="23"/>
        </w:rPr>
      </w:pPr>
    </w:p>
    <w:p w:rsidR="0002524F" w:rsidRDefault="0002524F" w:rsidP="0002524F">
      <w:pPr>
        <w:pStyle w:val="Nadpis2"/>
        <w:numPr>
          <w:ilvl w:val="1"/>
          <w:numId w:val="7"/>
        </w:numPr>
        <w:tabs>
          <w:tab w:val="left" w:pos="1869"/>
          <w:tab w:val="left" w:pos="1870"/>
        </w:tabs>
        <w:rPr>
          <w:u w:val="none"/>
        </w:rPr>
      </w:pPr>
      <w:bookmarkStart w:id="19" w:name="_bookmark19"/>
      <w:bookmarkEnd w:id="19"/>
      <w:r>
        <w:rPr>
          <w:u w:val="thick"/>
        </w:rPr>
        <w:t>Zvláštní</w:t>
      </w:r>
      <w:r>
        <w:rPr>
          <w:spacing w:val="-1"/>
          <w:u w:val="thick"/>
        </w:rPr>
        <w:t xml:space="preserve"> </w:t>
      </w:r>
      <w:r>
        <w:rPr>
          <w:u w:val="thick"/>
        </w:rPr>
        <w:t>ustanovení:</w:t>
      </w:r>
    </w:p>
    <w:p w:rsidR="0002524F" w:rsidRDefault="0002524F" w:rsidP="0002524F">
      <w:pPr>
        <w:pStyle w:val="Zkladntext"/>
        <w:spacing w:before="138"/>
        <w:ind w:right="827"/>
        <w:jc w:val="both"/>
      </w:pPr>
      <w:r>
        <w:t>Národní svazy FCI (NS) jsou oprávněny pro oblast své působnosti upravit, případně rozšířit všeobecnou část tohoto zkušebního řádu. Například: pokyny k účasti, veterinárním opatřením, řádem na ochranu zvířat, zdravotními podmínkami. Stejně tak jsou oprávněni učinit úpravy na základě zákonných opatření v dané zemi.</w:t>
      </w:r>
    </w:p>
    <w:p w:rsidR="0002524F" w:rsidRDefault="0002524F" w:rsidP="0002524F">
      <w:pPr>
        <w:pStyle w:val="Zkladntext"/>
        <w:spacing w:before="10"/>
        <w:ind w:left="0"/>
        <w:rPr>
          <w:sz w:val="23"/>
        </w:rPr>
      </w:pPr>
    </w:p>
    <w:p w:rsidR="0002524F" w:rsidRDefault="0002524F" w:rsidP="0002524F">
      <w:pPr>
        <w:pStyle w:val="Nadpis2"/>
        <w:numPr>
          <w:ilvl w:val="1"/>
          <w:numId w:val="7"/>
        </w:numPr>
        <w:tabs>
          <w:tab w:val="left" w:pos="1869"/>
          <w:tab w:val="left" w:pos="1870"/>
        </w:tabs>
        <w:rPr>
          <w:u w:val="none"/>
        </w:rPr>
      </w:pPr>
      <w:bookmarkStart w:id="20" w:name="_bookmark20"/>
      <w:bookmarkEnd w:id="20"/>
      <w:r>
        <w:rPr>
          <w:u w:val="thick"/>
        </w:rPr>
        <w:t>Mistrovství světa / Mistrovství</w:t>
      </w:r>
      <w:r>
        <w:rPr>
          <w:spacing w:val="1"/>
          <w:u w:val="thick"/>
        </w:rPr>
        <w:t xml:space="preserve"> </w:t>
      </w:r>
      <w:r>
        <w:rPr>
          <w:u w:val="thick"/>
        </w:rPr>
        <w:t>Evropy:</w:t>
      </w:r>
    </w:p>
    <w:p w:rsidR="0002524F" w:rsidRDefault="0002524F" w:rsidP="0002524F">
      <w:pPr>
        <w:pStyle w:val="Zkladntext"/>
        <w:spacing w:before="138"/>
        <w:ind w:right="836"/>
        <w:jc w:val="both"/>
      </w:pPr>
      <w:r>
        <w:t>V platnosti je směrnice FCI pro pořádání různých druhů mistrovství světa FCI. Vydávání těchto směrnic, stejně jako jejich pozměňování přináleží výcvikové komisi FCI.</w:t>
      </w:r>
    </w:p>
    <w:p w:rsidR="0002524F" w:rsidRDefault="0002524F" w:rsidP="0002524F">
      <w:pPr>
        <w:pStyle w:val="Zkladntext"/>
        <w:spacing w:before="8"/>
        <w:ind w:left="0"/>
        <w:rPr>
          <w:sz w:val="23"/>
        </w:rPr>
      </w:pPr>
    </w:p>
    <w:p w:rsidR="0002524F" w:rsidRDefault="0002524F" w:rsidP="0002524F">
      <w:pPr>
        <w:pStyle w:val="Nadpis2"/>
        <w:numPr>
          <w:ilvl w:val="1"/>
          <w:numId w:val="7"/>
        </w:numPr>
        <w:tabs>
          <w:tab w:val="left" w:pos="1869"/>
          <w:tab w:val="left" w:pos="1870"/>
        </w:tabs>
        <w:rPr>
          <w:u w:val="none"/>
        </w:rPr>
      </w:pPr>
      <w:bookmarkStart w:id="21" w:name="_bookmark21"/>
      <w:bookmarkEnd w:id="21"/>
      <w:r>
        <w:rPr>
          <w:u w:val="thick"/>
        </w:rPr>
        <w:t>Diskvalifikace:</w:t>
      </w:r>
    </w:p>
    <w:p w:rsidR="0002524F" w:rsidRDefault="0002524F" w:rsidP="0002524F">
      <w:pPr>
        <w:pStyle w:val="Zkladntext"/>
        <w:spacing w:before="138"/>
        <w:ind w:right="827"/>
        <w:jc w:val="both"/>
      </w:pPr>
      <w:r>
        <w:t>Diskvalifikace znamená okamžité ukončení posuzování a následné odejmutí všech dosud získaných bodů a to i bodů, udělených v jiných oddílech. Do výkonnostního průkazu se nezapisuje žádná známka ani body a provádí se zápis "diskvalifikace". Po diskvalifikaci pes k dalším oddílům nenastupuje.</w:t>
      </w:r>
    </w:p>
    <w:p w:rsidR="0002524F" w:rsidRDefault="0002524F" w:rsidP="0002524F">
      <w:pPr>
        <w:pStyle w:val="Zkladntext"/>
        <w:spacing w:before="9"/>
        <w:ind w:left="0"/>
        <w:rPr>
          <w:sz w:val="23"/>
        </w:rPr>
      </w:pPr>
    </w:p>
    <w:p w:rsidR="0002524F" w:rsidRDefault="0002524F" w:rsidP="0002524F">
      <w:pPr>
        <w:pStyle w:val="Nadpis2"/>
        <w:numPr>
          <w:ilvl w:val="1"/>
          <w:numId w:val="7"/>
        </w:numPr>
        <w:tabs>
          <w:tab w:val="left" w:pos="1869"/>
          <w:tab w:val="left" w:pos="1870"/>
        </w:tabs>
        <w:rPr>
          <w:u w:val="none"/>
        </w:rPr>
      </w:pPr>
      <w:bookmarkStart w:id="22" w:name="_bookmark22"/>
      <w:bookmarkEnd w:id="22"/>
      <w:r>
        <w:rPr>
          <w:u w:val="thick"/>
        </w:rPr>
        <w:t>K diskvalifikaci dochází v těchto</w:t>
      </w:r>
      <w:r>
        <w:rPr>
          <w:spacing w:val="-3"/>
          <w:u w:val="thick"/>
        </w:rPr>
        <w:t xml:space="preserve"> </w:t>
      </w:r>
      <w:r>
        <w:rPr>
          <w:u w:val="thick"/>
        </w:rPr>
        <w:t>případech:</w:t>
      </w:r>
    </w:p>
    <w:p w:rsidR="0002524F" w:rsidRDefault="0002524F" w:rsidP="0002524F">
      <w:pPr>
        <w:pStyle w:val="Odstavecseseznamem"/>
        <w:numPr>
          <w:ilvl w:val="2"/>
          <w:numId w:val="7"/>
        </w:numPr>
        <w:tabs>
          <w:tab w:val="left" w:pos="1977"/>
          <w:tab w:val="left" w:pos="1978"/>
        </w:tabs>
        <w:spacing w:before="138"/>
      </w:pPr>
      <w:r>
        <w:t>pes neodevzdá psovodovi na stopě předmět (rovněž pokud pes předmět</w:t>
      </w:r>
      <w:r>
        <w:rPr>
          <w:spacing w:val="-16"/>
        </w:rPr>
        <w:t xml:space="preserve"> </w:t>
      </w:r>
      <w:r>
        <w:t>spolkne)</w:t>
      </w:r>
    </w:p>
    <w:p w:rsidR="0002524F" w:rsidRDefault="0002524F" w:rsidP="0002524F">
      <w:pPr>
        <w:pStyle w:val="Odstavecseseznamem"/>
        <w:numPr>
          <w:ilvl w:val="2"/>
          <w:numId w:val="7"/>
        </w:numPr>
        <w:tabs>
          <w:tab w:val="left" w:pos="1978"/>
        </w:tabs>
        <w:spacing w:before="6" w:line="256" w:lineRule="auto"/>
        <w:ind w:right="833"/>
        <w:jc w:val="both"/>
      </w:pPr>
      <w:r>
        <w:t>pes opustí psovoda nebo cvičební prostor a neuposlechne ani na třetí povel pro přivolání (rozuměj: jeden povolený a dva dodatečné), (platí po celou dobu zkoušek)</w:t>
      </w:r>
    </w:p>
    <w:p w:rsidR="0002524F" w:rsidRDefault="0002524F" w:rsidP="0002524F">
      <w:pPr>
        <w:pStyle w:val="Zkladntext"/>
        <w:spacing w:before="4"/>
        <w:ind w:left="0"/>
        <w:rPr>
          <w:sz w:val="23"/>
        </w:rPr>
      </w:pPr>
    </w:p>
    <w:p w:rsidR="0002524F" w:rsidRDefault="0002524F" w:rsidP="0002524F">
      <w:pPr>
        <w:pStyle w:val="Odstavecseseznamem"/>
        <w:numPr>
          <w:ilvl w:val="2"/>
          <w:numId w:val="7"/>
        </w:numPr>
        <w:tabs>
          <w:tab w:val="left" w:pos="1978"/>
        </w:tabs>
        <w:spacing w:line="247" w:lineRule="auto"/>
        <w:ind w:right="832"/>
        <w:jc w:val="both"/>
      </w:pPr>
      <w:r>
        <w:t>pes není pod kontrolou psovoda - (např. odběhne od nohy psovoda při bočním / zadním doprovodu). Pes se nenechá ani třetím povelem (rozuměj: jeden povolený a dva dodatečné) přivolat k noze, nebo při dalším pokusu opět uteče, nebo přijde jen s aktivní pomocí</w:t>
      </w:r>
      <w:r>
        <w:rPr>
          <w:spacing w:val="-10"/>
        </w:rPr>
        <w:t xml:space="preserve"> </w:t>
      </w:r>
      <w:r>
        <w:t>psovoda</w:t>
      </w:r>
    </w:p>
    <w:p w:rsidR="0002524F" w:rsidRDefault="0002524F" w:rsidP="0002524F">
      <w:pPr>
        <w:pStyle w:val="Zkladntext"/>
        <w:spacing w:before="5"/>
        <w:ind w:left="0"/>
      </w:pPr>
    </w:p>
    <w:p w:rsidR="0002524F" w:rsidRDefault="0002524F" w:rsidP="0002524F">
      <w:pPr>
        <w:pStyle w:val="Odstavecseseznamem"/>
        <w:numPr>
          <w:ilvl w:val="2"/>
          <w:numId w:val="7"/>
        </w:numPr>
        <w:tabs>
          <w:tab w:val="left" w:pos="1978"/>
        </w:tabs>
        <w:spacing w:line="247" w:lineRule="auto"/>
        <w:ind w:right="839"/>
        <w:jc w:val="both"/>
      </w:pPr>
      <w:r>
        <w:t>pokud pes při bočním doprovodu napadne figuranta a na jediný povel (lze použít povel "pusť" nebo "k noze") nepustí, nebo v případě, že pes napadne</w:t>
      </w:r>
      <w:r>
        <w:rPr>
          <w:spacing w:val="-20"/>
        </w:rPr>
        <w:t xml:space="preserve"> </w:t>
      </w:r>
      <w:r>
        <w:t>znovu</w:t>
      </w:r>
    </w:p>
    <w:p w:rsidR="0002524F" w:rsidRDefault="0002524F" w:rsidP="0002524F">
      <w:pPr>
        <w:pStyle w:val="Odstavecseseznamem"/>
        <w:numPr>
          <w:ilvl w:val="2"/>
          <w:numId w:val="7"/>
        </w:numPr>
        <w:tabs>
          <w:tab w:val="left" w:pos="1977"/>
          <w:tab w:val="left" w:pos="1978"/>
        </w:tabs>
        <w:spacing w:before="1"/>
      </w:pPr>
      <w:r>
        <w:t>pokud pes při zadním doprovodu napadne</w:t>
      </w:r>
      <w:r>
        <w:rPr>
          <w:spacing w:val="-4"/>
        </w:rPr>
        <w:t xml:space="preserve"> </w:t>
      </w:r>
      <w:r>
        <w:t>figuranta</w:t>
      </w:r>
    </w:p>
    <w:p w:rsidR="0002524F" w:rsidRDefault="0002524F" w:rsidP="0002524F">
      <w:pPr>
        <w:pStyle w:val="Odstavecseseznamem"/>
        <w:numPr>
          <w:ilvl w:val="2"/>
          <w:numId w:val="7"/>
        </w:numPr>
        <w:tabs>
          <w:tab w:val="left" w:pos="1977"/>
          <w:tab w:val="left" w:pos="1978"/>
        </w:tabs>
        <w:spacing w:before="8"/>
      </w:pPr>
      <w:r>
        <w:t>pes kousne figuranta mimo ochranný rukáv nebo napadne jinou osobu nebo</w:t>
      </w:r>
      <w:r>
        <w:rPr>
          <w:spacing w:val="-28"/>
        </w:rPr>
        <w:t xml:space="preserve"> </w:t>
      </w:r>
      <w:r>
        <w:t>psa</w:t>
      </w:r>
    </w:p>
    <w:p w:rsidR="0002524F" w:rsidRDefault="0002524F" w:rsidP="0002524F">
      <w:pPr>
        <w:pStyle w:val="Odstavecseseznamem"/>
        <w:numPr>
          <w:ilvl w:val="2"/>
          <w:numId w:val="7"/>
        </w:numPr>
        <w:tabs>
          <w:tab w:val="left" w:pos="1978"/>
        </w:tabs>
        <w:spacing w:before="7" w:line="247" w:lineRule="auto"/>
        <w:ind w:right="834"/>
        <w:jc w:val="both"/>
      </w:pPr>
      <w:r>
        <w:t>nesportovní chování psovoda (trestání psa, požití alkoholu nebo jiných psychotropních látek), porušení zkušebního řádu, porušení zákona na ochranu zvířat nebo přestupky vůči dobrým mravům, držení jakýchkoliv motivačních předmětů nebo krmiva v průběhu všech</w:t>
      </w:r>
      <w:r>
        <w:rPr>
          <w:spacing w:val="-8"/>
        </w:rPr>
        <w:t xml:space="preserve"> </w:t>
      </w:r>
      <w:r>
        <w:t>disciplín</w:t>
      </w:r>
    </w:p>
    <w:p w:rsidR="0002524F" w:rsidRDefault="0002524F" w:rsidP="0002524F">
      <w:pPr>
        <w:pStyle w:val="Odstavecseseznamem"/>
        <w:numPr>
          <w:ilvl w:val="2"/>
          <w:numId w:val="7"/>
        </w:numPr>
        <w:tabs>
          <w:tab w:val="left" w:pos="1977"/>
          <w:tab w:val="left" w:pos="1978"/>
        </w:tabs>
        <w:spacing w:line="252" w:lineRule="exact"/>
      </w:pPr>
      <w:r>
        <w:t>pes neobstojí v prověrce</w:t>
      </w:r>
      <w:r>
        <w:rPr>
          <w:spacing w:val="-4"/>
        </w:rPr>
        <w:t xml:space="preserve"> </w:t>
      </w:r>
      <w:r>
        <w:t>povahy</w:t>
      </w:r>
    </w:p>
    <w:p w:rsidR="0002524F" w:rsidRDefault="0002524F" w:rsidP="0002524F">
      <w:pPr>
        <w:pStyle w:val="Odstavecseseznamem"/>
        <w:numPr>
          <w:ilvl w:val="2"/>
          <w:numId w:val="7"/>
        </w:numPr>
        <w:tabs>
          <w:tab w:val="left" w:pos="1977"/>
          <w:tab w:val="left" w:pos="1978"/>
        </w:tabs>
        <w:spacing w:before="8"/>
      </w:pPr>
      <w:r>
        <w:t>podvodná manipulace s obojkem (např. skryté ostny, gumička</w:t>
      </w:r>
      <w:r>
        <w:rPr>
          <w:spacing w:val="-10"/>
        </w:rPr>
        <w:t xml:space="preserve"> </w:t>
      </w:r>
      <w:r>
        <w:t>atd.)</w:t>
      </w:r>
    </w:p>
    <w:p w:rsidR="0002524F" w:rsidRDefault="0002524F" w:rsidP="0002524F">
      <w:pPr>
        <w:sectPr w:rsidR="0002524F">
          <w:pgSz w:w="11910" w:h="16840"/>
          <w:pgMar w:top="1580" w:right="300" w:bottom="1520" w:left="740" w:header="0" w:footer="1265" w:gutter="0"/>
          <w:cols w:space="708"/>
        </w:sectPr>
      </w:pPr>
    </w:p>
    <w:p w:rsidR="0002524F" w:rsidRDefault="0002524F" w:rsidP="0002524F">
      <w:pPr>
        <w:pStyle w:val="Odstavecseseznamem"/>
        <w:numPr>
          <w:ilvl w:val="2"/>
          <w:numId w:val="7"/>
        </w:numPr>
        <w:tabs>
          <w:tab w:val="left" w:pos="1977"/>
          <w:tab w:val="left" w:pos="1978"/>
        </w:tabs>
        <w:spacing w:before="101" w:line="244" w:lineRule="auto"/>
        <w:ind w:right="830"/>
      </w:pPr>
      <w:r>
        <w:lastRenderedPageBreak/>
        <w:t>podezření z pokusu o podvod ve smyslu úmyslného použití zakázaných výcvikových</w:t>
      </w:r>
      <w:r>
        <w:rPr>
          <w:spacing w:val="-1"/>
        </w:rPr>
        <w:t xml:space="preserve"> </w:t>
      </w:r>
      <w:r>
        <w:t>pomůcek</w:t>
      </w:r>
    </w:p>
    <w:p w:rsidR="0002524F" w:rsidRDefault="0002524F" w:rsidP="0002524F">
      <w:pPr>
        <w:pStyle w:val="Odstavecseseznamem"/>
        <w:numPr>
          <w:ilvl w:val="2"/>
          <w:numId w:val="7"/>
        </w:numPr>
        <w:tabs>
          <w:tab w:val="left" w:pos="1977"/>
          <w:tab w:val="left" w:pos="1978"/>
        </w:tabs>
        <w:spacing w:before="5"/>
      </w:pPr>
      <w:r>
        <w:t>pes neodevzdá aport ani na třetí povel (rozuměj: jeden povolený a dva</w:t>
      </w:r>
      <w:r>
        <w:rPr>
          <w:spacing w:val="-25"/>
        </w:rPr>
        <w:t xml:space="preserve"> </w:t>
      </w:r>
      <w:r>
        <w:t>dodatečné)</w:t>
      </w:r>
    </w:p>
    <w:p w:rsidR="0002524F" w:rsidRDefault="0002524F" w:rsidP="0002524F">
      <w:pPr>
        <w:pStyle w:val="Odstavecseseznamem"/>
        <w:numPr>
          <w:ilvl w:val="2"/>
          <w:numId w:val="7"/>
        </w:numPr>
        <w:tabs>
          <w:tab w:val="left" w:pos="1977"/>
          <w:tab w:val="left" w:pos="1978"/>
        </w:tabs>
        <w:spacing w:before="6"/>
      </w:pPr>
      <w:r>
        <w:t>pes na stopě není schopen po reakci na zvěř pokračovat v další</w:t>
      </w:r>
      <w:r>
        <w:rPr>
          <w:spacing w:val="-18"/>
        </w:rPr>
        <w:t xml:space="preserve"> </w:t>
      </w:r>
      <w:r>
        <w:t>práci</w:t>
      </w:r>
    </w:p>
    <w:p w:rsidR="0002524F" w:rsidRDefault="0002524F" w:rsidP="0002524F">
      <w:pPr>
        <w:pStyle w:val="Odstavecseseznamem"/>
        <w:numPr>
          <w:ilvl w:val="2"/>
          <w:numId w:val="7"/>
        </w:numPr>
        <w:tabs>
          <w:tab w:val="left" w:pos="1977"/>
          <w:tab w:val="left" w:pos="1978"/>
        </w:tabs>
        <w:spacing w:before="9"/>
      </w:pPr>
      <w:r>
        <w:t>pes nepustí ani na třetí povel (rozuměj: jeden povolený a dva</w:t>
      </w:r>
      <w:r>
        <w:rPr>
          <w:spacing w:val="-19"/>
        </w:rPr>
        <w:t xml:space="preserve"> </w:t>
      </w:r>
      <w:r>
        <w:t>dodatečné)</w:t>
      </w:r>
    </w:p>
    <w:p w:rsidR="0002524F" w:rsidRDefault="0002524F" w:rsidP="0002524F">
      <w:pPr>
        <w:pStyle w:val="Odstavecseseznamem"/>
        <w:numPr>
          <w:ilvl w:val="2"/>
          <w:numId w:val="7"/>
        </w:numPr>
        <w:tabs>
          <w:tab w:val="left" w:pos="1978"/>
        </w:tabs>
        <w:spacing w:before="6" w:line="249" w:lineRule="auto"/>
        <w:ind w:right="833"/>
        <w:jc w:val="both"/>
      </w:pPr>
      <w:r>
        <w:t>pes opustí místo před útěkem figuranta - pes se nenechá ani třetím povelem (rozuměj: jeden povolený a dva dodatečné) přivolat k noze, nebo při dalším pokusu opět uteče, nebo přijde jen s aktivní pomocí</w:t>
      </w:r>
      <w:r>
        <w:rPr>
          <w:spacing w:val="-21"/>
        </w:rPr>
        <w:t xml:space="preserve"> </w:t>
      </w:r>
      <w:r>
        <w:t>psovoda</w:t>
      </w:r>
    </w:p>
    <w:p w:rsidR="0002524F" w:rsidRDefault="0002524F" w:rsidP="0002524F">
      <w:pPr>
        <w:pStyle w:val="Odstavecseseznamem"/>
        <w:numPr>
          <w:ilvl w:val="2"/>
          <w:numId w:val="7"/>
        </w:numPr>
        <w:tabs>
          <w:tab w:val="left" w:pos="1977"/>
          <w:tab w:val="left" w:pos="1978"/>
        </w:tabs>
        <w:spacing w:line="247" w:lineRule="auto"/>
        <w:ind w:right="834"/>
      </w:pPr>
      <w:r>
        <w:t>pes v maketě napadne a nepustí samostatně nebo na povel psovoda "pusť" a "ke mě-k noze“ (musí vyznít jako jeden</w:t>
      </w:r>
      <w:r>
        <w:rPr>
          <w:spacing w:val="-4"/>
        </w:rPr>
        <w:t xml:space="preserve"> </w:t>
      </w:r>
      <w:r>
        <w:t>povel)</w:t>
      </w:r>
    </w:p>
    <w:p w:rsidR="0002524F" w:rsidRDefault="0002524F" w:rsidP="0002524F">
      <w:pPr>
        <w:pStyle w:val="Odstavecseseznamem"/>
        <w:numPr>
          <w:ilvl w:val="2"/>
          <w:numId w:val="7"/>
        </w:numPr>
        <w:tabs>
          <w:tab w:val="left" w:pos="1977"/>
          <w:tab w:val="left" w:pos="1978"/>
        </w:tabs>
        <w:spacing w:line="247" w:lineRule="auto"/>
        <w:ind w:right="833"/>
      </w:pPr>
      <w:r>
        <w:t>pokud pes napadne (nejen pouhým nárazem, ale opravdu kousne) do jiných částí těla figuranta mimo ochranný rukáv je</w:t>
      </w:r>
      <w:r>
        <w:rPr>
          <w:spacing w:val="-15"/>
        </w:rPr>
        <w:t xml:space="preserve"> </w:t>
      </w:r>
      <w:r>
        <w:t>diskvalifikován.</w:t>
      </w:r>
    </w:p>
    <w:p w:rsidR="0002524F" w:rsidRDefault="0002524F" w:rsidP="0002524F">
      <w:pPr>
        <w:pStyle w:val="Odstavecseseznamem"/>
        <w:numPr>
          <w:ilvl w:val="2"/>
          <w:numId w:val="7"/>
        </w:numPr>
        <w:tabs>
          <w:tab w:val="left" w:pos="1977"/>
          <w:tab w:val="left" w:pos="1978"/>
        </w:tabs>
        <w:spacing w:line="247" w:lineRule="auto"/>
        <w:ind w:right="836"/>
      </w:pPr>
      <w:r>
        <w:t>pes v průběhu zkoušky či soutěže zaútočí na jinou osobu, než je figurant (např. špatná orientace psa při kontrolním</w:t>
      </w:r>
      <w:r>
        <w:rPr>
          <w:spacing w:val="-6"/>
        </w:rPr>
        <w:t xml:space="preserve"> </w:t>
      </w:r>
      <w:r>
        <w:t>výkonu)</w:t>
      </w:r>
    </w:p>
    <w:p w:rsidR="0002524F" w:rsidRDefault="0002524F" w:rsidP="0002524F">
      <w:pPr>
        <w:pStyle w:val="Zkladntext"/>
        <w:spacing w:before="8"/>
        <w:ind w:left="0"/>
        <w:rPr>
          <w:sz w:val="23"/>
        </w:rPr>
      </w:pPr>
    </w:p>
    <w:p w:rsidR="0002524F" w:rsidRDefault="0002524F" w:rsidP="0002524F">
      <w:pPr>
        <w:pStyle w:val="Nadpis2"/>
        <w:numPr>
          <w:ilvl w:val="1"/>
          <w:numId w:val="7"/>
        </w:numPr>
        <w:tabs>
          <w:tab w:val="left" w:pos="1869"/>
          <w:tab w:val="left" w:pos="1870"/>
        </w:tabs>
        <w:rPr>
          <w:u w:val="none"/>
        </w:rPr>
      </w:pPr>
      <w:bookmarkStart w:id="23" w:name="_bookmark23"/>
      <w:bookmarkEnd w:id="23"/>
      <w:r>
        <w:rPr>
          <w:u w:val="thick"/>
        </w:rPr>
        <w:t>Ukončení:</w:t>
      </w:r>
    </w:p>
    <w:p w:rsidR="0002524F" w:rsidRDefault="0002524F" w:rsidP="0002524F">
      <w:pPr>
        <w:pStyle w:val="Zkladntext"/>
        <w:spacing w:before="135"/>
        <w:ind w:right="834"/>
        <w:jc w:val="both"/>
      </w:pPr>
      <w:r>
        <w:t>Pokud je pes ukončen v oddílu C, oddíl C musí být hodnocen 0 body. Body dosažené v oddílech A a B jsou zachovány. Všechny doposud získané body se zapisují jak do výsledkové listiny, tak i do výkonnostního průkazu.</w:t>
      </w:r>
    </w:p>
    <w:p w:rsidR="0002524F" w:rsidRDefault="0002524F" w:rsidP="0002524F">
      <w:pPr>
        <w:spacing w:line="252" w:lineRule="exact"/>
        <w:ind w:left="1252"/>
        <w:rPr>
          <w:b/>
        </w:rPr>
      </w:pPr>
      <w:r>
        <w:rPr>
          <w:b/>
        </w:rPr>
        <w:t>K ukončení dochází v těchto případech:</w:t>
      </w:r>
    </w:p>
    <w:p w:rsidR="0002524F" w:rsidRDefault="0002524F" w:rsidP="0002524F">
      <w:pPr>
        <w:pStyle w:val="Odstavecseseznamem"/>
        <w:numPr>
          <w:ilvl w:val="2"/>
          <w:numId w:val="7"/>
        </w:numPr>
        <w:tabs>
          <w:tab w:val="left" w:pos="1977"/>
          <w:tab w:val="left" w:pos="1978"/>
        </w:tabs>
        <w:spacing w:before="11" w:line="244" w:lineRule="auto"/>
        <w:ind w:right="834"/>
      </w:pPr>
      <w:r>
        <w:t>po třetím neúspěšném pokusu o uvedení psa na stopu v místě nášlapu nebo po označení</w:t>
      </w:r>
      <w:r>
        <w:rPr>
          <w:spacing w:val="-4"/>
        </w:rPr>
        <w:t xml:space="preserve"> </w:t>
      </w:r>
      <w:r>
        <w:t>předmětu</w:t>
      </w:r>
    </w:p>
    <w:p w:rsidR="0002524F" w:rsidRDefault="0002524F" w:rsidP="0002524F">
      <w:pPr>
        <w:pStyle w:val="Odstavecseseznamem"/>
        <w:numPr>
          <w:ilvl w:val="2"/>
          <w:numId w:val="7"/>
        </w:numPr>
        <w:tabs>
          <w:tab w:val="left" w:pos="1977"/>
          <w:tab w:val="left" w:pos="1978"/>
        </w:tabs>
        <w:spacing w:before="5" w:line="244" w:lineRule="auto"/>
        <w:ind w:right="831"/>
      </w:pPr>
      <w:r>
        <w:t>pes opustí stopu o více jak délku stopovacího vodítka (10m) nebo neuposlechne-li psovod rozhodčího, aby psa</w:t>
      </w:r>
      <w:r>
        <w:rPr>
          <w:spacing w:val="-2"/>
        </w:rPr>
        <w:t xml:space="preserve"> </w:t>
      </w:r>
      <w:r>
        <w:t>následoval</w:t>
      </w:r>
    </w:p>
    <w:p w:rsidR="0002524F" w:rsidRDefault="0002524F" w:rsidP="0002524F">
      <w:pPr>
        <w:pStyle w:val="Odstavecseseznamem"/>
        <w:numPr>
          <w:ilvl w:val="2"/>
          <w:numId w:val="7"/>
        </w:numPr>
        <w:tabs>
          <w:tab w:val="left" w:pos="1977"/>
          <w:tab w:val="left" w:pos="1978"/>
        </w:tabs>
        <w:spacing w:before="5" w:line="244" w:lineRule="auto"/>
        <w:ind w:right="837"/>
      </w:pPr>
      <w:r>
        <w:t>překročení časového limitu pro vypracování stopy, nezájem psa o stopu i když se pes ve stopě</w:t>
      </w:r>
      <w:r>
        <w:rPr>
          <w:spacing w:val="-2"/>
        </w:rPr>
        <w:t xml:space="preserve"> </w:t>
      </w:r>
      <w:r>
        <w:t>nachází</w:t>
      </w:r>
    </w:p>
    <w:p w:rsidR="0002524F" w:rsidRDefault="0002524F" w:rsidP="0002524F">
      <w:pPr>
        <w:pStyle w:val="Odstavecseseznamem"/>
        <w:numPr>
          <w:ilvl w:val="2"/>
          <w:numId w:val="7"/>
        </w:numPr>
        <w:tabs>
          <w:tab w:val="left" w:pos="1977"/>
          <w:tab w:val="left" w:pos="1978"/>
        </w:tabs>
        <w:spacing w:before="4"/>
      </w:pPr>
      <w:r>
        <w:t>výrazný nezájem psa k provádění cviků, práce psa pod</w:t>
      </w:r>
      <w:r>
        <w:rPr>
          <w:spacing w:val="-8"/>
        </w:rPr>
        <w:t xml:space="preserve"> </w:t>
      </w:r>
      <w:r>
        <w:t>tlakem</w:t>
      </w:r>
    </w:p>
    <w:p w:rsidR="0002524F" w:rsidRDefault="0002524F" w:rsidP="0002524F">
      <w:pPr>
        <w:pStyle w:val="Odstavecseseznamem"/>
        <w:numPr>
          <w:ilvl w:val="2"/>
          <w:numId w:val="7"/>
        </w:numPr>
        <w:tabs>
          <w:tab w:val="left" w:pos="1977"/>
          <w:tab w:val="left" w:pos="1978"/>
        </w:tabs>
        <w:spacing w:before="7"/>
      </w:pPr>
      <w:r>
        <w:t>pes při obraně selže (nevydrží tlak ze strany figuranta a nechá se</w:t>
      </w:r>
      <w:r>
        <w:rPr>
          <w:spacing w:val="-18"/>
        </w:rPr>
        <w:t xml:space="preserve"> </w:t>
      </w:r>
      <w:r>
        <w:t>vyhnat)</w:t>
      </w:r>
    </w:p>
    <w:p w:rsidR="0002524F" w:rsidRDefault="0002524F" w:rsidP="0002524F">
      <w:pPr>
        <w:pStyle w:val="Odstavecseseznamem"/>
        <w:numPr>
          <w:ilvl w:val="2"/>
          <w:numId w:val="7"/>
        </w:numPr>
        <w:tabs>
          <w:tab w:val="left" w:pos="1978"/>
        </w:tabs>
        <w:spacing w:before="8" w:line="247" w:lineRule="auto"/>
        <w:ind w:right="831"/>
        <w:jc w:val="both"/>
      </w:pPr>
      <w:r>
        <w:t>při cviku "vystavení a vyštěkání" pes opustí figuranta před tím, než rozhodčí vydá příkaz psovodovi, aby opustil pomyslnou osu postupu a pes se ani na jediný povel "revír" nevrátí zpět k figurantovi nebo figuranta znovu opustí. Rovněž pokud si v této situaci zařadí psovod povelem psa k</w:t>
      </w:r>
      <w:r>
        <w:rPr>
          <w:spacing w:val="-8"/>
        </w:rPr>
        <w:t xml:space="preserve"> </w:t>
      </w:r>
      <w:r>
        <w:t>noze.</w:t>
      </w:r>
    </w:p>
    <w:p w:rsidR="0002524F" w:rsidRDefault="0002524F" w:rsidP="0002524F">
      <w:pPr>
        <w:pStyle w:val="Odstavecseseznamem"/>
        <w:numPr>
          <w:ilvl w:val="2"/>
          <w:numId w:val="7"/>
        </w:numPr>
        <w:tabs>
          <w:tab w:val="left" w:pos="1977"/>
          <w:tab w:val="left" w:pos="1978"/>
        </w:tabs>
        <w:spacing w:line="244" w:lineRule="auto"/>
        <w:ind w:right="836"/>
      </w:pPr>
      <w:r>
        <w:t>jestliže v průběhu obrany pes figuranta opustí před pokynem rozhodčího pro příchod ke</w:t>
      </w:r>
      <w:r>
        <w:rPr>
          <w:spacing w:val="-1"/>
        </w:rPr>
        <w:t xml:space="preserve"> </w:t>
      </w:r>
      <w:r>
        <w:t>psu</w:t>
      </w:r>
    </w:p>
    <w:p w:rsidR="0002524F" w:rsidRDefault="0002524F" w:rsidP="0002524F">
      <w:pPr>
        <w:pStyle w:val="Odstavecseseznamem"/>
        <w:numPr>
          <w:ilvl w:val="2"/>
          <w:numId w:val="7"/>
        </w:numPr>
        <w:tabs>
          <w:tab w:val="left" w:pos="1977"/>
          <w:tab w:val="left" w:pos="1978"/>
        </w:tabs>
        <w:spacing w:before="5"/>
      </w:pPr>
      <w:r>
        <w:t>obdrží-li pes od psovoda zvukový povel, aby setrval u</w:t>
      </w:r>
      <w:r>
        <w:rPr>
          <w:spacing w:val="-7"/>
        </w:rPr>
        <w:t xml:space="preserve"> </w:t>
      </w:r>
      <w:r>
        <w:t>figuranta</w:t>
      </w:r>
    </w:p>
    <w:p w:rsidR="0002524F" w:rsidRDefault="0002524F" w:rsidP="0002524F">
      <w:pPr>
        <w:pStyle w:val="Odstavecseseznamem"/>
        <w:numPr>
          <w:ilvl w:val="2"/>
          <w:numId w:val="7"/>
        </w:numPr>
        <w:tabs>
          <w:tab w:val="left" w:pos="1977"/>
          <w:tab w:val="left" w:pos="1978"/>
        </w:tabs>
        <w:spacing w:before="6"/>
      </w:pPr>
      <w:r>
        <w:t>pes nenajde figuranta ani při třetím neúspěšném vyslání na poslední</w:t>
      </w:r>
      <w:r>
        <w:rPr>
          <w:spacing w:val="-21"/>
        </w:rPr>
        <w:t xml:space="preserve"> </w:t>
      </w:r>
      <w:r>
        <w:t>úkryt</w:t>
      </w:r>
    </w:p>
    <w:p w:rsidR="0002524F" w:rsidRDefault="0002524F" w:rsidP="0002524F">
      <w:pPr>
        <w:pStyle w:val="Zkladntext"/>
        <w:spacing w:before="9"/>
        <w:ind w:left="1614"/>
      </w:pPr>
      <w:r>
        <w:t>•</w:t>
      </w:r>
    </w:p>
    <w:p w:rsidR="0002524F" w:rsidRDefault="0002524F" w:rsidP="0002524F">
      <w:pPr>
        <w:pStyle w:val="Nadpis2"/>
        <w:numPr>
          <w:ilvl w:val="1"/>
          <w:numId w:val="7"/>
        </w:numPr>
        <w:tabs>
          <w:tab w:val="left" w:pos="1870"/>
        </w:tabs>
        <w:spacing w:before="7"/>
        <w:jc w:val="both"/>
        <w:rPr>
          <w:u w:val="none"/>
        </w:rPr>
      </w:pPr>
      <w:bookmarkStart w:id="24" w:name="_bookmark24"/>
      <w:bookmarkEnd w:id="24"/>
      <w:r>
        <w:rPr>
          <w:u w:val="thick"/>
        </w:rPr>
        <w:t>Ukončení pro nemoc / zranění:</w:t>
      </w:r>
    </w:p>
    <w:p w:rsidR="0002524F" w:rsidRDefault="0002524F" w:rsidP="0002524F">
      <w:pPr>
        <w:pStyle w:val="Zkladntext"/>
        <w:spacing w:before="138" w:line="252" w:lineRule="exact"/>
        <w:jc w:val="both"/>
      </w:pPr>
      <w:r>
        <w:t>Pokud pes v průběhu zkoušky či soutěže onemocní, postupuje se následovně:</w:t>
      </w:r>
    </w:p>
    <w:p w:rsidR="0002524F" w:rsidRDefault="0002524F" w:rsidP="0002524F">
      <w:pPr>
        <w:pStyle w:val="Zkladntext"/>
        <w:ind w:right="828"/>
        <w:jc w:val="both"/>
      </w:pPr>
      <w:r>
        <w:t>1) Pokud psovod nahlásí, že pes onemocněl po ukončení disciplíny, musí vyhledat veterinárního lékaře a tuto skutečnost nechat potvrdit. Provádí se zápis do výkonnostního průkazu: "Ukončení pro nemoc". Pokud psovod odmítá nechat psa vyšetřit, tak dostane zápis: "Nedostatečně pro ukončení". Doložení veterinárního potvrzení je možné i dodatečně. V tomto případě rozhodčí zadrží výkonnostní průkaz psa, a pokud psovod nepředloží potvrzení od veterináře v průběhu čtyř dnů, rozhodčí zapíše do zadržených dokladů rovněž: "Nedostatečně pro ukončení". Doklady jsou následně vráceny zpět psovodovi na jeho vlastní náklady.</w:t>
      </w:r>
    </w:p>
    <w:p w:rsidR="0002524F" w:rsidRDefault="0002524F" w:rsidP="0002524F">
      <w:pPr>
        <w:pStyle w:val="Zkladntext"/>
        <w:spacing w:before="10"/>
        <w:ind w:left="0"/>
        <w:rPr>
          <w:sz w:val="21"/>
        </w:rPr>
      </w:pPr>
    </w:p>
    <w:p w:rsidR="0002524F" w:rsidRDefault="0002524F" w:rsidP="0002524F">
      <w:pPr>
        <w:pStyle w:val="Zkladntext"/>
        <w:ind w:right="828"/>
        <w:jc w:val="both"/>
      </w:pPr>
      <w:r>
        <w:rPr>
          <w:b/>
        </w:rPr>
        <w:t xml:space="preserve">Poznámka: </w:t>
      </w:r>
      <w:r>
        <w:t>Skutečnost, že rozhodčí může přerušit posuzování psa podezřelého z  nemoci</w:t>
      </w:r>
      <w:r>
        <w:rPr>
          <w:spacing w:val="52"/>
        </w:rPr>
        <w:t xml:space="preserve"> </w:t>
      </w:r>
      <w:r>
        <w:t>nebo</w:t>
      </w:r>
      <w:r>
        <w:rPr>
          <w:spacing w:val="53"/>
        </w:rPr>
        <w:t xml:space="preserve"> </w:t>
      </w:r>
      <w:r>
        <w:t>zranění,</w:t>
      </w:r>
      <w:r>
        <w:rPr>
          <w:spacing w:val="55"/>
        </w:rPr>
        <w:t xml:space="preserve"> </w:t>
      </w:r>
      <w:r>
        <w:t>přitom</w:t>
      </w:r>
      <w:r>
        <w:rPr>
          <w:spacing w:val="55"/>
        </w:rPr>
        <w:t xml:space="preserve"> </w:t>
      </w:r>
      <w:r>
        <w:t>zůstává</w:t>
      </w:r>
      <w:r>
        <w:rPr>
          <w:spacing w:val="53"/>
        </w:rPr>
        <w:t xml:space="preserve"> </w:t>
      </w:r>
      <w:r>
        <w:t>nedotčena.</w:t>
      </w:r>
      <w:r>
        <w:rPr>
          <w:spacing w:val="52"/>
        </w:rPr>
        <w:t xml:space="preserve"> </w:t>
      </w:r>
      <w:r>
        <w:t>Totéž</w:t>
      </w:r>
      <w:r>
        <w:rPr>
          <w:spacing w:val="52"/>
        </w:rPr>
        <w:t xml:space="preserve"> </w:t>
      </w:r>
      <w:r>
        <w:t>platí</w:t>
      </w:r>
      <w:r>
        <w:rPr>
          <w:spacing w:val="51"/>
        </w:rPr>
        <w:t xml:space="preserve"> </w:t>
      </w:r>
      <w:r>
        <w:t>i</w:t>
      </w:r>
      <w:r>
        <w:rPr>
          <w:spacing w:val="53"/>
        </w:rPr>
        <w:t xml:space="preserve"> </w:t>
      </w:r>
      <w:r>
        <w:t>v</w:t>
      </w:r>
      <w:r>
        <w:rPr>
          <w:spacing w:val="51"/>
        </w:rPr>
        <w:t xml:space="preserve"> </w:t>
      </w:r>
      <w:r>
        <w:t>případě,</w:t>
      </w:r>
      <w:r>
        <w:rPr>
          <w:spacing w:val="52"/>
        </w:rPr>
        <w:t xml:space="preserve"> </w:t>
      </w:r>
      <w:r>
        <w:t>kdy</w:t>
      </w:r>
      <w:r>
        <w:rPr>
          <w:spacing w:val="52"/>
        </w:rPr>
        <w:t xml:space="preserve"> </w:t>
      </w:r>
      <w:r>
        <w:t>nejsou</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pStyle w:val="Zkladntext"/>
        <w:spacing w:before="101"/>
        <w:ind w:right="835"/>
        <w:jc w:val="both"/>
      </w:pPr>
      <w:r>
        <w:lastRenderedPageBreak/>
        <w:t>předvádění psi fyzicky zdatní vzhledem ke svému věku a s ohledem na zákon na ochranu zvířat. Zápis, Ukončení pro zranění ".</w:t>
      </w:r>
    </w:p>
    <w:p w:rsidR="0002524F" w:rsidRDefault="0002524F" w:rsidP="0002524F">
      <w:pPr>
        <w:pStyle w:val="Zkladntext"/>
        <w:ind w:left="0"/>
        <w:rPr>
          <w:sz w:val="24"/>
        </w:rPr>
      </w:pPr>
    </w:p>
    <w:p w:rsidR="0002524F" w:rsidRDefault="0002524F" w:rsidP="0002524F">
      <w:pPr>
        <w:pStyle w:val="Zkladntext"/>
        <w:ind w:left="0"/>
        <w:rPr>
          <w:sz w:val="20"/>
        </w:rPr>
      </w:pPr>
    </w:p>
    <w:p w:rsidR="0002524F" w:rsidRDefault="0002524F" w:rsidP="0002524F">
      <w:pPr>
        <w:pStyle w:val="Nadpis2"/>
        <w:numPr>
          <w:ilvl w:val="1"/>
          <w:numId w:val="7"/>
        </w:numPr>
        <w:tabs>
          <w:tab w:val="left" w:pos="1870"/>
        </w:tabs>
        <w:jc w:val="both"/>
        <w:rPr>
          <w:u w:val="none"/>
        </w:rPr>
      </w:pPr>
      <w:bookmarkStart w:id="25" w:name="_bookmark25"/>
      <w:bookmarkEnd w:id="25"/>
      <w:r>
        <w:rPr>
          <w:u w:val="thick"/>
        </w:rPr>
        <w:t>Prověrka povahy, kontrola identity psa a lhostejnost psa k</w:t>
      </w:r>
      <w:r>
        <w:rPr>
          <w:spacing w:val="-6"/>
          <w:u w:val="thick"/>
        </w:rPr>
        <w:t xml:space="preserve"> </w:t>
      </w:r>
      <w:r>
        <w:rPr>
          <w:u w:val="thick"/>
        </w:rPr>
        <w:t>výstřelu:</w:t>
      </w:r>
    </w:p>
    <w:p w:rsidR="0002524F" w:rsidRDefault="0002524F" w:rsidP="0002524F">
      <w:pPr>
        <w:pStyle w:val="Zkladntext"/>
        <w:spacing w:before="138" w:line="252" w:lineRule="exact"/>
        <w:jc w:val="both"/>
      </w:pPr>
      <w:r>
        <w:t>Před zahájením zkoušky musí rozhodčí (R) provést prověrku povahy psa.</w:t>
      </w:r>
    </w:p>
    <w:p w:rsidR="0002524F" w:rsidRDefault="0002524F" w:rsidP="0002524F">
      <w:pPr>
        <w:pStyle w:val="Zkladntext"/>
        <w:ind w:right="831"/>
        <w:jc w:val="both"/>
      </w:pPr>
      <w:r>
        <w:t>Součástí prověrky povahy je chování psa k cizí osobě, kontrola identity psa a lhostejnost psa k výstřelu.</w:t>
      </w:r>
    </w:p>
    <w:p w:rsidR="0002524F" w:rsidRDefault="0002524F" w:rsidP="0002524F">
      <w:pPr>
        <w:pStyle w:val="Zkladntext"/>
        <w:spacing w:before="6"/>
        <w:ind w:left="0"/>
        <w:rPr>
          <w:sz w:val="23"/>
        </w:rPr>
      </w:pPr>
    </w:p>
    <w:p w:rsidR="0002524F" w:rsidRDefault="0002524F" w:rsidP="0002524F">
      <w:pPr>
        <w:pStyle w:val="Odstavecseseznamem"/>
        <w:numPr>
          <w:ilvl w:val="0"/>
          <w:numId w:val="5"/>
        </w:numPr>
        <w:tabs>
          <w:tab w:val="left" w:pos="1972"/>
          <w:tab w:val="left" w:pos="1973"/>
        </w:tabs>
        <w:rPr>
          <w:b/>
        </w:rPr>
      </w:pPr>
      <w:r>
        <w:rPr>
          <w:b/>
        </w:rPr>
        <w:t>Provedení</w:t>
      </w:r>
    </w:p>
    <w:p w:rsidR="0002524F" w:rsidRDefault="0002524F" w:rsidP="0002524F">
      <w:pPr>
        <w:pStyle w:val="Zkladntext"/>
        <w:spacing w:before="19"/>
        <w:ind w:right="830"/>
        <w:jc w:val="both"/>
      </w:pPr>
      <w:r>
        <w:rPr>
          <w:b/>
        </w:rPr>
        <w:t xml:space="preserve">Prověrka povahy </w:t>
      </w:r>
      <w:r>
        <w:t>se provádí na neutrálním, klidném místě, mimo prostor provádění zkoušek nebo pachových prací. Rovněž musí být dodržen určitý časový odstup mezi prověrkou povahy a nástupem psa k disciplíně. Psi jsou předvedeni jednotlivě na krátkém prověšeném vodítku (obojek nesmí být nastaven na stahování, postroje nejsou povoleny). Pes musí být celou dobu pod kontrolou psovoda. Pes nesmí být nijak ovlivňován ze  strany psovoda, ani nikým provokován, aby se projevily jeho přirozené reakce. Pes se k cizí osobě musí chovat netečně. Zvláště je třeba zamezit jakýmkoli dráždivým vlivům. Rozhodčí se nesmí psa dotýkat. Prověrka povahy psa neprobíhá pouze na začátku zkoušky, ale během celého jejího</w:t>
      </w:r>
      <w:r>
        <w:rPr>
          <w:spacing w:val="1"/>
        </w:rPr>
        <w:t xml:space="preserve"> </w:t>
      </w:r>
      <w:r>
        <w:t>průběhu.</w:t>
      </w:r>
    </w:p>
    <w:p w:rsidR="0002524F" w:rsidRDefault="0002524F" w:rsidP="0002524F">
      <w:pPr>
        <w:pStyle w:val="Zkladntext"/>
        <w:ind w:left="0"/>
      </w:pPr>
    </w:p>
    <w:p w:rsidR="0002524F" w:rsidRDefault="0002524F" w:rsidP="0002524F">
      <w:pPr>
        <w:pStyle w:val="Zkladntext"/>
        <w:ind w:right="829"/>
        <w:jc w:val="both"/>
      </w:pPr>
      <w:r>
        <w:rPr>
          <w:b/>
        </w:rPr>
        <w:t xml:space="preserve">Kontrola identity psa </w:t>
      </w:r>
      <w:r>
        <w:t>je povinná pro všechny účastníky zkoušek-soutěže a provádí se přečtením čísla tetování nebo mikročipu. Tetovací číslo nebo číslo mikročipu musí souhlasit s číslem v průkazu původu a výkonnostní knížce psa. Číslo mikročipu musí být v průkazu původu potvrzeno razítkem národní organizace (svazu). Psi bez průkazu původu a tetovacího čísla musí být povinně označeni čipem a být zaregistrováni v registru psů bez PP. Psovodi, jejichž psi byli označeni mikročipem v zahraničí nebo kteří koupili psa ze zahraničí, jsou zodpovědní za to, že budou mít k dispozici čtečku pro daný typ mikročipu. Psi, kteří nemohou být jednoznačně identifikováni, se nesmí zkoušky / soutěže zúčastnit. Pokud rozhodčí mikročip nemůže nalézt, pověří psovoda, aby našel místo aplikace čipu sám. Následně pak rozhodčí provede kontrolu znovu. Rozhodčí je tedy povinen osobně zkontrolovat čtečkou číslo mikročipu. Rozhodčí se v průběhu zkoušky nesmí psa dotýkat, ale psovod je povinen umožnit její provedení. Rozhodčí se musí vyvarovat jakýchkoliv dráždivých</w:t>
      </w:r>
      <w:r>
        <w:rPr>
          <w:spacing w:val="-1"/>
        </w:rPr>
        <w:t xml:space="preserve"> </w:t>
      </w:r>
      <w:r>
        <w:t>pohybů.</w:t>
      </w:r>
    </w:p>
    <w:p w:rsidR="0002524F" w:rsidRDefault="0002524F" w:rsidP="0002524F">
      <w:pPr>
        <w:pStyle w:val="Zkladntext"/>
        <w:spacing w:before="2"/>
        <w:ind w:right="831" w:firstLine="59"/>
        <w:jc w:val="both"/>
      </w:pPr>
      <w:r>
        <w:t>Jedinci, jejichž identitu není možno jednoznačně určit, se nesmějí zúčastňovat žádných akcí, jejich doklady musí být rozhodčím odebrány a předány spolu s výsledky akce delegujícímu orgánu.</w:t>
      </w:r>
    </w:p>
    <w:p w:rsidR="0002524F" w:rsidRDefault="0002524F" w:rsidP="0002524F">
      <w:pPr>
        <w:pStyle w:val="Zkladntext"/>
        <w:spacing w:before="10"/>
        <w:ind w:left="0"/>
        <w:rPr>
          <w:sz w:val="21"/>
        </w:rPr>
      </w:pPr>
    </w:p>
    <w:p w:rsidR="0002524F" w:rsidRDefault="0002524F" w:rsidP="0002524F">
      <w:pPr>
        <w:pStyle w:val="Zkladntext"/>
        <w:ind w:right="828"/>
        <w:jc w:val="both"/>
      </w:pPr>
      <w:r>
        <w:rPr>
          <w:b/>
        </w:rPr>
        <w:t xml:space="preserve">Přezkoušení lhostejnosti psa k výstřelu </w:t>
      </w:r>
      <w:r>
        <w:t>je rovněž součástí prověrky povahy psa. Při pochybnostech má rozhodčí možnost lhostejnost k výstřelu přezkoušet. Vyzve psovoda, aby upoutal psa na vodítko, a ze vzdálenosti 30 kroků nechá opakovaně vystřelit. Pes má na prověšeném vodítku vykazovat lhostejnost k výstřelu. Při zkouškách BH-VT, IBGH-1 až IBGH-3 se přezkoušení lhostejnosti psa k výstřelu neprovádí. Je tedy nutné tyto druhy zkoušek na zkouškách posoudit odděleně od zkoušek IGP. Nejprve posoudit skupinu zkoušek bez střelby a poté skupinu zkoušek se</w:t>
      </w:r>
      <w:r>
        <w:rPr>
          <w:spacing w:val="-7"/>
        </w:rPr>
        <w:t xml:space="preserve"> </w:t>
      </w:r>
      <w:r>
        <w:t>střelbou.</w:t>
      </w:r>
    </w:p>
    <w:p w:rsidR="0002524F" w:rsidRDefault="0002524F" w:rsidP="0002524F">
      <w:pPr>
        <w:pStyle w:val="Zkladntext"/>
        <w:spacing w:before="4"/>
        <w:ind w:left="0"/>
      </w:pPr>
    </w:p>
    <w:p w:rsidR="0002524F" w:rsidRDefault="0002524F" w:rsidP="0002524F">
      <w:pPr>
        <w:pStyle w:val="Nadpis2"/>
        <w:numPr>
          <w:ilvl w:val="1"/>
          <w:numId w:val="7"/>
        </w:numPr>
        <w:tabs>
          <w:tab w:val="left" w:pos="1870"/>
        </w:tabs>
        <w:jc w:val="both"/>
        <w:rPr>
          <w:u w:val="none"/>
        </w:rPr>
      </w:pPr>
      <w:bookmarkStart w:id="26" w:name="_bookmark26"/>
      <w:bookmarkEnd w:id="26"/>
      <w:r>
        <w:rPr>
          <w:u w:val="thick"/>
        </w:rPr>
        <w:t>Hodnocení</w:t>
      </w:r>
    </w:p>
    <w:p w:rsidR="0002524F" w:rsidRDefault="0002524F" w:rsidP="0002524F">
      <w:pPr>
        <w:spacing w:before="135"/>
        <w:ind w:left="1314"/>
        <w:jc w:val="both"/>
        <w:rPr>
          <w:b/>
        </w:rPr>
      </w:pPr>
      <w:r>
        <w:rPr>
          <w:b/>
        </w:rPr>
        <w:t>žádoucí projevy povahy - pes v prověrce obstál</w:t>
      </w:r>
    </w:p>
    <w:p w:rsidR="0002524F" w:rsidRDefault="0002524F" w:rsidP="0002524F">
      <w:pPr>
        <w:pStyle w:val="Odstavecseseznamem"/>
        <w:numPr>
          <w:ilvl w:val="0"/>
          <w:numId w:val="4"/>
        </w:numPr>
        <w:tabs>
          <w:tab w:val="left" w:pos="1390"/>
        </w:tabs>
        <w:spacing w:before="2"/>
        <w:ind w:hanging="110"/>
        <w:jc w:val="both"/>
      </w:pPr>
      <w:r>
        <w:t>pes je sebejistý, může se chovat přátelsky i</w:t>
      </w:r>
      <w:r>
        <w:rPr>
          <w:spacing w:val="-10"/>
        </w:rPr>
        <w:t xml:space="preserve"> </w:t>
      </w:r>
      <w:r>
        <w:t>netečně</w:t>
      </w:r>
    </w:p>
    <w:p w:rsidR="0002524F" w:rsidRDefault="0002524F" w:rsidP="0002524F">
      <w:pPr>
        <w:pStyle w:val="Odstavecseseznamem"/>
        <w:numPr>
          <w:ilvl w:val="0"/>
          <w:numId w:val="4"/>
        </w:numPr>
        <w:tabs>
          <w:tab w:val="left" w:pos="1363"/>
        </w:tabs>
        <w:spacing w:before="1"/>
        <w:ind w:hanging="117"/>
        <w:jc w:val="both"/>
      </w:pPr>
      <w:r>
        <w:t>pes je klidný, jistý a</w:t>
      </w:r>
      <w:r>
        <w:rPr>
          <w:spacing w:val="-4"/>
        </w:rPr>
        <w:t xml:space="preserve"> </w:t>
      </w:r>
      <w:r>
        <w:t>pozorný</w:t>
      </w:r>
    </w:p>
    <w:p w:rsidR="0002524F" w:rsidRDefault="0002524F" w:rsidP="0002524F">
      <w:pPr>
        <w:pStyle w:val="Odstavecseseznamem"/>
        <w:numPr>
          <w:ilvl w:val="0"/>
          <w:numId w:val="4"/>
        </w:numPr>
        <w:tabs>
          <w:tab w:val="left" w:pos="1363"/>
        </w:tabs>
        <w:spacing w:before="11"/>
        <w:ind w:hanging="117"/>
        <w:jc w:val="both"/>
      </w:pPr>
      <w:r>
        <w:t>pes je živý a</w:t>
      </w:r>
      <w:r>
        <w:rPr>
          <w:spacing w:val="-4"/>
        </w:rPr>
        <w:t xml:space="preserve"> </w:t>
      </w:r>
      <w:r>
        <w:t>pozorný</w:t>
      </w:r>
    </w:p>
    <w:p w:rsidR="0002524F" w:rsidRDefault="0002524F" w:rsidP="0002524F">
      <w:pPr>
        <w:pStyle w:val="Odstavecseseznamem"/>
        <w:numPr>
          <w:ilvl w:val="0"/>
          <w:numId w:val="4"/>
        </w:numPr>
        <w:tabs>
          <w:tab w:val="left" w:pos="1363"/>
        </w:tabs>
        <w:spacing w:before="11"/>
        <w:ind w:hanging="117"/>
        <w:jc w:val="both"/>
      </w:pPr>
      <w:r>
        <w:t>pes je nenucený a</w:t>
      </w:r>
      <w:r>
        <w:rPr>
          <w:spacing w:val="-4"/>
        </w:rPr>
        <w:t xml:space="preserve"> </w:t>
      </w:r>
      <w:r>
        <w:t>poslušný</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spacing w:before="99"/>
        <w:ind w:left="1362"/>
      </w:pPr>
      <w:r>
        <w:rPr>
          <w:b/>
        </w:rPr>
        <w:lastRenderedPageBreak/>
        <w:t xml:space="preserve">mezní případy </w:t>
      </w:r>
      <w:r>
        <w:t>- nutno dále pozorovat</w:t>
      </w:r>
    </w:p>
    <w:p w:rsidR="0002524F" w:rsidRDefault="0002524F" w:rsidP="0002524F">
      <w:pPr>
        <w:pStyle w:val="Odstavecseseznamem"/>
        <w:numPr>
          <w:ilvl w:val="0"/>
          <w:numId w:val="4"/>
        </w:numPr>
        <w:tabs>
          <w:tab w:val="left" w:pos="1363"/>
        </w:tabs>
        <w:spacing w:before="11"/>
        <w:ind w:hanging="117"/>
        <w:jc w:val="both"/>
      </w:pPr>
      <w:r>
        <w:t>pes je neklidný, ale není agresivní; během zkoušky je ale</w:t>
      </w:r>
      <w:r>
        <w:rPr>
          <w:spacing w:val="-8"/>
        </w:rPr>
        <w:t xml:space="preserve"> </w:t>
      </w:r>
      <w:r>
        <w:t>snášenlivý</w:t>
      </w:r>
    </w:p>
    <w:p w:rsidR="0002524F" w:rsidRDefault="0002524F" w:rsidP="0002524F">
      <w:pPr>
        <w:pStyle w:val="Odstavecseseznamem"/>
        <w:numPr>
          <w:ilvl w:val="0"/>
          <w:numId w:val="4"/>
        </w:numPr>
        <w:tabs>
          <w:tab w:val="left" w:pos="1363"/>
        </w:tabs>
        <w:spacing w:before="13"/>
        <w:ind w:hanging="117"/>
        <w:jc w:val="both"/>
      </w:pPr>
      <w:r>
        <w:t>pes je lehce předrážděný, během předvádění se ale</w:t>
      </w:r>
      <w:r>
        <w:rPr>
          <w:spacing w:val="-4"/>
        </w:rPr>
        <w:t xml:space="preserve"> </w:t>
      </w:r>
      <w:r>
        <w:t>zklidní</w:t>
      </w:r>
    </w:p>
    <w:p w:rsidR="0002524F" w:rsidRDefault="0002524F" w:rsidP="0002524F">
      <w:pPr>
        <w:pStyle w:val="Zkladntext"/>
        <w:ind w:left="0"/>
        <w:rPr>
          <w:sz w:val="26"/>
        </w:rPr>
      </w:pPr>
    </w:p>
    <w:p w:rsidR="0002524F" w:rsidRDefault="0002524F" w:rsidP="0002524F">
      <w:pPr>
        <w:spacing w:before="233"/>
        <w:ind w:left="1362"/>
        <w:rPr>
          <w:b/>
        </w:rPr>
      </w:pPr>
      <w:r>
        <w:rPr>
          <w:b/>
        </w:rPr>
        <w:t>psi, kteří musí být ze zkoušky diskvalifikováni</w:t>
      </w:r>
    </w:p>
    <w:p w:rsidR="0002524F" w:rsidRDefault="0002524F" w:rsidP="0002524F">
      <w:pPr>
        <w:pStyle w:val="Odstavecseseznamem"/>
        <w:numPr>
          <w:ilvl w:val="0"/>
          <w:numId w:val="4"/>
        </w:numPr>
        <w:tabs>
          <w:tab w:val="left" w:pos="1363"/>
        </w:tabs>
        <w:spacing w:before="16"/>
        <w:ind w:hanging="117"/>
        <w:jc w:val="both"/>
      </w:pPr>
      <w:r>
        <w:t>nejistí a bázliví psi, vyhýbající se</w:t>
      </w:r>
      <w:r>
        <w:rPr>
          <w:spacing w:val="-8"/>
        </w:rPr>
        <w:t xml:space="preserve"> </w:t>
      </w:r>
      <w:r>
        <w:t>lidem</w:t>
      </w:r>
    </w:p>
    <w:p w:rsidR="0002524F" w:rsidRDefault="0002524F" w:rsidP="0002524F">
      <w:pPr>
        <w:pStyle w:val="Odstavecseseznamem"/>
        <w:numPr>
          <w:ilvl w:val="0"/>
          <w:numId w:val="4"/>
        </w:numPr>
        <w:tabs>
          <w:tab w:val="left" w:pos="1363"/>
        </w:tabs>
        <w:spacing w:before="11"/>
        <w:ind w:hanging="117"/>
        <w:jc w:val="both"/>
      </w:pPr>
      <w:r>
        <w:t>nervózní, agresivní psi nebo psi kousající ze</w:t>
      </w:r>
      <w:r>
        <w:rPr>
          <w:spacing w:val="-10"/>
        </w:rPr>
        <w:t xml:space="preserve"> </w:t>
      </w:r>
      <w:r>
        <w:t>strachu</w:t>
      </w:r>
    </w:p>
    <w:p w:rsidR="0002524F" w:rsidRDefault="0002524F" w:rsidP="0002524F">
      <w:pPr>
        <w:pStyle w:val="Odstavecseseznamem"/>
        <w:numPr>
          <w:ilvl w:val="0"/>
          <w:numId w:val="4"/>
        </w:numPr>
        <w:tabs>
          <w:tab w:val="left" w:pos="1363"/>
        </w:tabs>
        <w:spacing w:before="11" w:line="249" w:lineRule="auto"/>
        <w:ind w:right="836" w:hanging="117"/>
        <w:jc w:val="both"/>
      </w:pPr>
      <w:r>
        <w:t>pes, který při výstřelu projeví strach (např. pes vstane, chová se bázlivě a uteče pryč; uteče ke psovodovi a chová se bázlivě; vykazuje panický strach a snaží se opustit prostor, nebo se chová zmateně) nebo naopak vykazuje</w:t>
      </w:r>
      <w:r>
        <w:rPr>
          <w:spacing w:val="-9"/>
        </w:rPr>
        <w:t xml:space="preserve"> </w:t>
      </w:r>
      <w:r>
        <w:t>agresivitu</w:t>
      </w:r>
    </w:p>
    <w:p w:rsidR="0002524F" w:rsidRDefault="0002524F" w:rsidP="0002524F">
      <w:pPr>
        <w:pStyle w:val="Zkladntext"/>
        <w:spacing w:before="7"/>
        <w:ind w:left="0"/>
        <w:rPr>
          <w:sz w:val="23"/>
        </w:rPr>
      </w:pPr>
    </w:p>
    <w:p w:rsidR="0002524F" w:rsidRDefault="0002524F" w:rsidP="0002524F">
      <w:pPr>
        <w:pStyle w:val="Zkladntext"/>
        <w:ind w:right="830"/>
        <w:jc w:val="both"/>
      </w:pPr>
      <w:r>
        <w:t>Psi, kteří při prověrce povahy neobstojí, jsou z účasti na zkoušce - soutěži diskvalifikováni. Z tohoto důvodu sleduje rozhodčí chování psa k cizí osobě po celou dobu konání akce (např. i při závěrečném ceremoniálu). Při zjištění povahové slabosti je rozhodčí povinen takového psa ihned diskvalifikovat. Diskvalifikace s uvedením povahové slabosti musí být zaznamenána ve výkonnostním průkazu psa a důvod diskvalifikace musí být zapsán i ve zprávě rozhodčího delegujícímu orgánu. U psa, který je na základě prověrky povahy diskvalifikován, se provede zápis: „Diskvalifikace z důvodu povahy“. Všechny dosud získané body se odejmou. Body se neudělí ani v případě, že už byly zveřejněny.</w:t>
      </w:r>
    </w:p>
    <w:p w:rsidR="0002524F" w:rsidRDefault="0002524F" w:rsidP="0002524F">
      <w:pPr>
        <w:pStyle w:val="Zkladntext"/>
        <w:spacing w:before="8"/>
        <w:ind w:left="0"/>
        <w:rPr>
          <w:sz w:val="23"/>
        </w:rPr>
      </w:pPr>
    </w:p>
    <w:p w:rsidR="0002524F" w:rsidRDefault="0002524F" w:rsidP="0002524F">
      <w:pPr>
        <w:ind w:left="1252"/>
        <w:rPr>
          <w:b/>
        </w:rPr>
      </w:pPr>
      <w:r>
        <w:rPr>
          <w:b/>
        </w:rPr>
        <w:t>Hodnocení cviků</w:t>
      </w:r>
    </w:p>
    <w:p w:rsidR="0002524F" w:rsidRDefault="0002524F" w:rsidP="0002524F">
      <w:pPr>
        <w:pStyle w:val="Zkladntext"/>
        <w:spacing w:before="20"/>
        <w:ind w:right="840"/>
      </w:pPr>
      <w:r>
        <w:t>Hodnocení předváděných výkonů se provádí výcvikovými známkami a body. Známka a k ní náležící body musí odpovídat provedení cviků.</w:t>
      </w:r>
    </w:p>
    <w:p w:rsidR="0002524F" w:rsidRDefault="0002524F" w:rsidP="0002524F">
      <w:pPr>
        <w:pStyle w:val="Zkladntext"/>
        <w:spacing w:before="1"/>
        <w:ind w:left="0"/>
        <w:rPr>
          <w:sz w:val="24"/>
        </w:rPr>
      </w:pPr>
    </w:p>
    <w:tbl>
      <w:tblPr>
        <w:tblStyle w:val="TableNormal"/>
        <w:tblW w:w="0" w:type="auto"/>
        <w:tblInd w:w="15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2"/>
        <w:gridCol w:w="1429"/>
        <w:gridCol w:w="594"/>
        <w:gridCol w:w="823"/>
        <w:gridCol w:w="597"/>
        <w:gridCol w:w="821"/>
        <w:gridCol w:w="599"/>
        <w:gridCol w:w="1011"/>
        <w:gridCol w:w="1609"/>
      </w:tblGrid>
      <w:tr w:rsidR="0002524F" w:rsidTr="000A6911">
        <w:trPr>
          <w:trHeight w:val="123"/>
        </w:trPr>
        <w:tc>
          <w:tcPr>
            <w:tcW w:w="1282" w:type="dxa"/>
            <w:vMerge w:val="restart"/>
            <w:tcBorders>
              <w:top w:val="nil"/>
              <w:left w:val="nil"/>
            </w:tcBorders>
          </w:tcPr>
          <w:p w:rsidR="0002524F" w:rsidRDefault="0002524F" w:rsidP="000A6911">
            <w:pPr>
              <w:pStyle w:val="TableParagraph"/>
              <w:rPr>
                <w:rFonts w:ascii="Times New Roman"/>
              </w:rPr>
            </w:pPr>
          </w:p>
        </w:tc>
        <w:tc>
          <w:tcPr>
            <w:tcW w:w="7483" w:type="dxa"/>
            <w:gridSpan w:val="8"/>
            <w:tcBorders>
              <w:bottom w:val="nil"/>
            </w:tcBorders>
            <w:shd w:val="clear" w:color="auto" w:fill="D9D9D9"/>
          </w:tcPr>
          <w:p w:rsidR="0002524F" w:rsidRDefault="0002524F" w:rsidP="000A6911">
            <w:pPr>
              <w:pStyle w:val="TableParagraph"/>
              <w:rPr>
                <w:rFonts w:ascii="Times New Roman"/>
                <w:sz w:val="6"/>
              </w:rPr>
            </w:pPr>
          </w:p>
        </w:tc>
      </w:tr>
      <w:tr w:rsidR="0002524F" w:rsidTr="000A6911">
        <w:trPr>
          <w:trHeight w:val="421"/>
        </w:trPr>
        <w:tc>
          <w:tcPr>
            <w:tcW w:w="1282" w:type="dxa"/>
            <w:vMerge/>
            <w:tcBorders>
              <w:top w:val="nil"/>
              <w:left w:val="nil"/>
            </w:tcBorders>
          </w:tcPr>
          <w:p w:rsidR="0002524F" w:rsidRDefault="0002524F" w:rsidP="000A6911">
            <w:pPr>
              <w:rPr>
                <w:sz w:val="2"/>
                <w:szCs w:val="2"/>
              </w:rPr>
            </w:pPr>
          </w:p>
        </w:tc>
        <w:tc>
          <w:tcPr>
            <w:tcW w:w="7483" w:type="dxa"/>
            <w:gridSpan w:val="8"/>
            <w:tcBorders>
              <w:top w:val="nil"/>
            </w:tcBorders>
            <w:shd w:val="clear" w:color="auto" w:fill="D9D9D9"/>
          </w:tcPr>
          <w:p w:rsidR="0002524F" w:rsidRDefault="0002524F" w:rsidP="000A6911">
            <w:pPr>
              <w:pStyle w:val="TableParagraph"/>
              <w:spacing w:line="233" w:lineRule="exact"/>
              <w:ind w:left="2862" w:right="2606"/>
              <w:jc w:val="center"/>
              <w:rPr>
                <w:b/>
              </w:rPr>
            </w:pPr>
            <w:r>
              <w:rPr>
                <w:b/>
              </w:rPr>
              <w:t>Výcviková známka</w:t>
            </w:r>
          </w:p>
        </w:tc>
      </w:tr>
      <w:tr w:rsidR="0002524F" w:rsidTr="000A6911">
        <w:trPr>
          <w:trHeight w:val="956"/>
        </w:trPr>
        <w:tc>
          <w:tcPr>
            <w:tcW w:w="1282" w:type="dxa"/>
            <w:shd w:val="clear" w:color="auto" w:fill="D9D9D9"/>
          </w:tcPr>
          <w:p w:rsidR="0002524F" w:rsidRDefault="0002524F" w:rsidP="000A6911">
            <w:pPr>
              <w:pStyle w:val="TableParagraph"/>
              <w:spacing w:before="117" w:line="270" w:lineRule="atLeast"/>
              <w:ind w:left="37" w:right="302"/>
              <w:rPr>
                <w:b/>
              </w:rPr>
            </w:pPr>
            <w:r>
              <w:rPr>
                <w:b/>
              </w:rPr>
              <w:t>Nejvyšší počet bodů</w:t>
            </w:r>
          </w:p>
        </w:tc>
        <w:tc>
          <w:tcPr>
            <w:tcW w:w="1429" w:type="dxa"/>
            <w:tcBorders>
              <w:right w:val="single" w:sz="6" w:space="0" w:color="000000"/>
            </w:tcBorders>
          </w:tcPr>
          <w:p w:rsidR="0002524F" w:rsidRDefault="0002524F" w:rsidP="000A6911">
            <w:pPr>
              <w:pStyle w:val="TableParagraph"/>
              <w:spacing w:before="7"/>
              <w:rPr>
                <w:sz w:val="35"/>
              </w:rPr>
            </w:pPr>
          </w:p>
          <w:p w:rsidR="0002524F" w:rsidRDefault="0002524F" w:rsidP="000A6911">
            <w:pPr>
              <w:pStyle w:val="TableParagraph"/>
              <w:ind w:left="97"/>
            </w:pPr>
            <w:r>
              <w:t>Výborně</w:t>
            </w:r>
          </w:p>
        </w:tc>
        <w:tc>
          <w:tcPr>
            <w:tcW w:w="1417" w:type="dxa"/>
            <w:gridSpan w:val="2"/>
            <w:tcBorders>
              <w:left w:val="single" w:sz="6" w:space="0" w:color="000000"/>
              <w:right w:val="single" w:sz="6" w:space="0" w:color="000000"/>
            </w:tcBorders>
          </w:tcPr>
          <w:p w:rsidR="0002524F" w:rsidRDefault="0002524F" w:rsidP="000A6911">
            <w:pPr>
              <w:pStyle w:val="TableParagraph"/>
              <w:spacing w:before="8"/>
              <w:rPr>
                <w:sz w:val="23"/>
              </w:rPr>
            </w:pPr>
          </w:p>
          <w:p w:rsidR="0002524F" w:rsidRDefault="0002524F" w:rsidP="000A6911">
            <w:pPr>
              <w:pStyle w:val="TableParagraph"/>
              <w:spacing w:before="1" w:line="259" w:lineRule="auto"/>
              <w:ind w:left="190" w:right="629"/>
            </w:pPr>
            <w:r>
              <w:t>Velmi dobře</w:t>
            </w:r>
          </w:p>
        </w:tc>
        <w:tc>
          <w:tcPr>
            <w:tcW w:w="1418" w:type="dxa"/>
            <w:gridSpan w:val="2"/>
            <w:tcBorders>
              <w:left w:val="single" w:sz="6" w:space="0" w:color="000000"/>
              <w:right w:val="single" w:sz="6" w:space="0" w:color="000000"/>
            </w:tcBorders>
          </w:tcPr>
          <w:p w:rsidR="0002524F" w:rsidRDefault="0002524F" w:rsidP="000A6911">
            <w:pPr>
              <w:pStyle w:val="TableParagraph"/>
              <w:spacing w:before="7"/>
              <w:rPr>
                <w:sz w:val="35"/>
              </w:rPr>
            </w:pPr>
          </w:p>
          <w:p w:rsidR="0002524F" w:rsidRDefault="0002524F" w:rsidP="000A6911">
            <w:pPr>
              <w:pStyle w:val="TableParagraph"/>
              <w:ind w:left="98"/>
            </w:pPr>
            <w:r>
              <w:t>Dobře</w:t>
            </w:r>
          </w:p>
        </w:tc>
        <w:tc>
          <w:tcPr>
            <w:tcW w:w="1610" w:type="dxa"/>
            <w:gridSpan w:val="2"/>
            <w:tcBorders>
              <w:left w:val="single" w:sz="6" w:space="0" w:color="000000"/>
              <w:right w:val="single" w:sz="6" w:space="0" w:color="000000"/>
            </w:tcBorders>
          </w:tcPr>
          <w:p w:rsidR="0002524F" w:rsidRDefault="0002524F" w:rsidP="000A6911">
            <w:pPr>
              <w:pStyle w:val="TableParagraph"/>
              <w:spacing w:before="7"/>
              <w:rPr>
                <w:sz w:val="35"/>
              </w:rPr>
            </w:pPr>
          </w:p>
          <w:p w:rsidR="0002524F" w:rsidRDefault="0002524F" w:rsidP="000A6911">
            <w:pPr>
              <w:pStyle w:val="TableParagraph"/>
              <w:ind w:left="99"/>
            </w:pPr>
            <w:r>
              <w:t>Uspokojivě</w:t>
            </w:r>
          </w:p>
        </w:tc>
        <w:tc>
          <w:tcPr>
            <w:tcW w:w="1609" w:type="dxa"/>
            <w:tcBorders>
              <w:left w:val="single" w:sz="6" w:space="0" w:color="000000"/>
            </w:tcBorders>
          </w:tcPr>
          <w:p w:rsidR="0002524F" w:rsidRDefault="0002524F" w:rsidP="000A6911">
            <w:pPr>
              <w:pStyle w:val="TableParagraph"/>
              <w:spacing w:before="7"/>
              <w:rPr>
                <w:sz w:val="35"/>
              </w:rPr>
            </w:pPr>
          </w:p>
          <w:p w:rsidR="0002524F" w:rsidRDefault="0002524F" w:rsidP="000A6911">
            <w:pPr>
              <w:pStyle w:val="TableParagraph"/>
              <w:ind w:left="158"/>
            </w:pPr>
            <w:r>
              <w:t>Nedostatečně</w:t>
            </w:r>
          </w:p>
        </w:tc>
      </w:tr>
      <w:tr w:rsidR="0002524F" w:rsidTr="000A6911">
        <w:trPr>
          <w:trHeight w:val="577"/>
        </w:trPr>
        <w:tc>
          <w:tcPr>
            <w:tcW w:w="1282" w:type="dxa"/>
            <w:tcBorders>
              <w:bottom w:val="single" w:sz="6" w:space="0" w:color="000000"/>
            </w:tcBorders>
          </w:tcPr>
          <w:p w:rsidR="0002524F" w:rsidRDefault="0002524F" w:rsidP="000A6911">
            <w:pPr>
              <w:pStyle w:val="TableParagraph"/>
              <w:spacing w:before="136"/>
              <w:ind w:left="92"/>
            </w:pPr>
            <w:r>
              <w:t>5</w:t>
            </w:r>
          </w:p>
        </w:tc>
        <w:tc>
          <w:tcPr>
            <w:tcW w:w="1429" w:type="dxa"/>
            <w:tcBorders>
              <w:bottom w:val="single" w:sz="6" w:space="0" w:color="000000"/>
              <w:right w:val="single" w:sz="6" w:space="0" w:color="000000"/>
            </w:tcBorders>
          </w:tcPr>
          <w:p w:rsidR="0002524F" w:rsidRDefault="0002524F" w:rsidP="000A6911">
            <w:pPr>
              <w:pStyle w:val="TableParagraph"/>
              <w:spacing w:before="136"/>
              <w:ind w:left="95"/>
            </w:pPr>
            <w:r>
              <w:t>5.0</w:t>
            </w:r>
          </w:p>
        </w:tc>
        <w:tc>
          <w:tcPr>
            <w:tcW w:w="1417" w:type="dxa"/>
            <w:gridSpan w:val="2"/>
            <w:tcBorders>
              <w:left w:val="single" w:sz="6" w:space="0" w:color="000000"/>
              <w:bottom w:val="single" w:sz="6" w:space="0" w:color="000000"/>
              <w:right w:val="single" w:sz="6" w:space="0" w:color="000000"/>
            </w:tcBorders>
          </w:tcPr>
          <w:p w:rsidR="0002524F" w:rsidRDefault="0002524F" w:rsidP="000A6911">
            <w:pPr>
              <w:pStyle w:val="TableParagraph"/>
              <w:spacing w:before="136"/>
              <w:ind w:left="97"/>
            </w:pPr>
            <w:r>
              <w:t>4.5</w:t>
            </w:r>
          </w:p>
        </w:tc>
        <w:tc>
          <w:tcPr>
            <w:tcW w:w="1418" w:type="dxa"/>
            <w:gridSpan w:val="2"/>
            <w:tcBorders>
              <w:left w:val="single" w:sz="6" w:space="0" w:color="000000"/>
              <w:bottom w:val="single" w:sz="6" w:space="0" w:color="000000"/>
              <w:right w:val="single" w:sz="6" w:space="0" w:color="000000"/>
            </w:tcBorders>
          </w:tcPr>
          <w:p w:rsidR="0002524F" w:rsidRDefault="0002524F" w:rsidP="000A6911">
            <w:pPr>
              <w:pStyle w:val="TableParagraph"/>
              <w:spacing w:before="136"/>
              <w:ind w:left="98"/>
            </w:pPr>
            <w:r>
              <w:t>4.0</w:t>
            </w:r>
          </w:p>
        </w:tc>
        <w:tc>
          <w:tcPr>
            <w:tcW w:w="1610" w:type="dxa"/>
            <w:gridSpan w:val="2"/>
            <w:tcBorders>
              <w:left w:val="single" w:sz="6" w:space="0" w:color="000000"/>
              <w:bottom w:val="single" w:sz="6" w:space="0" w:color="000000"/>
              <w:right w:val="single" w:sz="6" w:space="0" w:color="000000"/>
            </w:tcBorders>
          </w:tcPr>
          <w:p w:rsidR="0002524F" w:rsidRDefault="0002524F" w:rsidP="000A6911">
            <w:pPr>
              <w:pStyle w:val="TableParagraph"/>
              <w:spacing w:before="136"/>
              <w:ind w:left="99"/>
            </w:pPr>
            <w:r>
              <w:t>3.5</w:t>
            </w:r>
          </w:p>
        </w:tc>
        <w:tc>
          <w:tcPr>
            <w:tcW w:w="1609" w:type="dxa"/>
            <w:tcBorders>
              <w:left w:val="single" w:sz="6" w:space="0" w:color="000000"/>
              <w:bottom w:val="single" w:sz="6" w:space="0" w:color="000000"/>
            </w:tcBorders>
          </w:tcPr>
          <w:p w:rsidR="0002524F" w:rsidRDefault="0002524F" w:rsidP="000A6911">
            <w:pPr>
              <w:pStyle w:val="TableParagraph"/>
              <w:spacing w:before="136"/>
              <w:ind w:left="100"/>
            </w:pPr>
            <w:r>
              <w:t>3.0 – 0</w:t>
            </w:r>
          </w:p>
        </w:tc>
      </w:tr>
      <w:tr w:rsidR="0002524F" w:rsidTr="000A6911">
        <w:trPr>
          <w:trHeight w:val="563"/>
        </w:trPr>
        <w:tc>
          <w:tcPr>
            <w:tcW w:w="1282" w:type="dxa"/>
            <w:tcBorders>
              <w:top w:val="single" w:sz="6" w:space="0" w:color="000000"/>
              <w:bottom w:val="single" w:sz="6" w:space="0" w:color="000000"/>
            </w:tcBorders>
          </w:tcPr>
          <w:p w:rsidR="0002524F" w:rsidRDefault="0002524F" w:rsidP="000A6911">
            <w:pPr>
              <w:pStyle w:val="TableParagraph"/>
              <w:spacing w:before="136"/>
              <w:ind w:left="90"/>
            </w:pPr>
            <w:r>
              <w:t>10</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6"/>
              <w:ind w:left="95"/>
            </w:pPr>
            <w:r>
              <w:t>10.0</w:t>
            </w:r>
          </w:p>
        </w:tc>
        <w:tc>
          <w:tcPr>
            <w:tcW w:w="594" w:type="dxa"/>
            <w:tcBorders>
              <w:top w:val="single" w:sz="6" w:space="0" w:color="000000"/>
              <w:left w:val="single" w:sz="6" w:space="0" w:color="000000"/>
              <w:bottom w:val="single" w:sz="6" w:space="0" w:color="000000"/>
              <w:right w:val="nil"/>
            </w:tcBorders>
          </w:tcPr>
          <w:p w:rsidR="0002524F" w:rsidRDefault="0002524F" w:rsidP="000A6911">
            <w:pPr>
              <w:pStyle w:val="TableParagraph"/>
              <w:spacing w:before="136"/>
              <w:ind w:left="97"/>
            </w:pPr>
            <w:r>
              <w:t>9.5 -</w:t>
            </w:r>
          </w:p>
        </w:tc>
        <w:tc>
          <w:tcPr>
            <w:tcW w:w="823" w:type="dxa"/>
            <w:tcBorders>
              <w:top w:val="single" w:sz="6" w:space="0" w:color="000000"/>
              <w:left w:val="nil"/>
              <w:bottom w:val="single" w:sz="6" w:space="0" w:color="000000"/>
              <w:right w:val="single" w:sz="6" w:space="0" w:color="000000"/>
            </w:tcBorders>
          </w:tcPr>
          <w:p w:rsidR="0002524F" w:rsidRDefault="0002524F" w:rsidP="000A6911">
            <w:pPr>
              <w:pStyle w:val="TableParagraph"/>
              <w:spacing w:before="136"/>
              <w:ind w:left="74"/>
            </w:pPr>
            <w:r>
              <w:t>9.0</w:t>
            </w:r>
          </w:p>
        </w:tc>
        <w:tc>
          <w:tcPr>
            <w:tcW w:w="597" w:type="dxa"/>
            <w:tcBorders>
              <w:top w:val="single" w:sz="6" w:space="0" w:color="000000"/>
              <w:left w:val="single" w:sz="6" w:space="0" w:color="000000"/>
              <w:bottom w:val="single" w:sz="6" w:space="0" w:color="000000"/>
              <w:right w:val="nil"/>
            </w:tcBorders>
          </w:tcPr>
          <w:p w:rsidR="0002524F" w:rsidRDefault="0002524F" w:rsidP="000A6911">
            <w:pPr>
              <w:pStyle w:val="TableParagraph"/>
              <w:spacing w:before="136"/>
              <w:ind w:left="98"/>
            </w:pPr>
            <w:r>
              <w:t>8.5 -</w:t>
            </w:r>
          </w:p>
        </w:tc>
        <w:tc>
          <w:tcPr>
            <w:tcW w:w="821" w:type="dxa"/>
            <w:tcBorders>
              <w:top w:val="single" w:sz="6" w:space="0" w:color="000000"/>
              <w:left w:val="nil"/>
              <w:bottom w:val="single" w:sz="6" w:space="0" w:color="000000"/>
              <w:right w:val="single" w:sz="6" w:space="0" w:color="000000"/>
            </w:tcBorders>
          </w:tcPr>
          <w:p w:rsidR="0002524F" w:rsidRDefault="0002524F" w:rsidP="000A6911">
            <w:pPr>
              <w:pStyle w:val="TableParagraph"/>
              <w:spacing w:before="136"/>
              <w:ind w:left="73"/>
            </w:pPr>
            <w:r>
              <w:t>8.0</w:t>
            </w:r>
          </w:p>
        </w:tc>
        <w:tc>
          <w:tcPr>
            <w:tcW w:w="599" w:type="dxa"/>
            <w:tcBorders>
              <w:top w:val="single" w:sz="6" w:space="0" w:color="000000"/>
              <w:left w:val="single" w:sz="6" w:space="0" w:color="000000"/>
              <w:bottom w:val="single" w:sz="6" w:space="0" w:color="000000"/>
              <w:right w:val="nil"/>
            </w:tcBorders>
          </w:tcPr>
          <w:p w:rsidR="0002524F" w:rsidRDefault="0002524F" w:rsidP="000A6911">
            <w:pPr>
              <w:pStyle w:val="TableParagraph"/>
              <w:spacing w:before="136"/>
              <w:ind w:left="99"/>
            </w:pPr>
            <w:r>
              <w:t>7.5 -</w:t>
            </w:r>
          </w:p>
        </w:tc>
        <w:tc>
          <w:tcPr>
            <w:tcW w:w="1011" w:type="dxa"/>
            <w:tcBorders>
              <w:top w:val="single" w:sz="6" w:space="0" w:color="000000"/>
              <w:left w:val="nil"/>
              <w:bottom w:val="single" w:sz="6" w:space="0" w:color="000000"/>
              <w:right w:val="single" w:sz="6" w:space="0" w:color="000000"/>
            </w:tcBorders>
          </w:tcPr>
          <w:p w:rsidR="0002524F" w:rsidRDefault="0002524F" w:rsidP="000A6911">
            <w:pPr>
              <w:pStyle w:val="TableParagraph"/>
              <w:spacing w:before="136"/>
              <w:ind w:left="72"/>
            </w:pPr>
            <w:r>
              <w:t>7.0</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6"/>
              <w:ind w:left="100"/>
            </w:pPr>
            <w:r>
              <w:t>6.5 – 0</w:t>
            </w:r>
          </w:p>
        </w:tc>
      </w:tr>
      <w:tr w:rsidR="0002524F" w:rsidTr="000A6911">
        <w:trPr>
          <w:trHeight w:val="565"/>
        </w:trPr>
        <w:tc>
          <w:tcPr>
            <w:tcW w:w="1282" w:type="dxa"/>
            <w:tcBorders>
              <w:top w:val="single" w:sz="6" w:space="0" w:color="000000"/>
              <w:bottom w:val="single" w:sz="6" w:space="0" w:color="000000"/>
            </w:tcBorders>
          </w:tcPr>
          <w:p w:rsidR="0002524F" w:rsidRDefault="0002524F" w:rsidP="000A6911">
            <w:pPr>
              <w:pStyle w:val="TableParagraph"/>
              <w:spacing w:before="136"/>
              <w:ind w:left="90"/>
            </w:pPr>
            <w:r>
              <w:t>15</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6"/>
              <w:ind w:left="97"/>
            </w:pPr>
            <w:r>
              <w:t>15.0 - 14.5</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9"/>
            </w:pPr>
            <w:r>
              <w:t>14.0 - 13.5</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101"/>
            </w:pPr>
            <w:r>
              <w:t>13.0 - 12.0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7"/>
            </w:pPr>
            <w:r>
              <w:t>11.5 - 10.5</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6"/>
              <w:ind w:left="102"/>
            </w:pPr>
            <w:r>
              <w:t>10.0 – 0</w:t>
            </w:r>
          </w:p>
        </w:tc>
      </w:tr>
      <w:tr w:rsidR="0002524F" w:rsidTr="000A6911">
        <w:trPr>
          <w:trHeight w:val="563"/>
        </w:trPr>
        <w:tc>
          <w:tcPr>
            <w:tcW w:w="1282" w:type="dxa"/>
            <w:tcBorders>
              <w:top w:val="single" w:sz="6" w:space="0" w:color="000000"/>
              <w:bottom w:val="single" w:sz="6" w:space="0" w:color="000000"/>
            </w:tcBorders>
          </w:tcPr>
          <w:p w:rsidR="0002524F" w:rsidRDefault="0002524F" w:rsidP="000A6911">
            <w:pPr>
              <w:pStyle w:val="TableParagraph"/>
              <w:spacing w:before="134"/>
              <w:ind w:left="90"/>
            </w:pPr>
            <w:r>
              <w:t>20</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4"/>
              <w:ind w:left="97"/>
            </w:pPr>
            <w:r>
              <w:t>20.0 - 19.5</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7"/>
            </w:pPr>
            <w:r>
              <w:t>19.0 – 18.0</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8"/>
            </w:pPr>
            <w:r>
              <w:t>17.5 – 16.0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9"/>
            </w:pPr>
            <w:r>
              <w:t>15.5 – 14.0</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4"/>
              <w:ind w:left="102"/>
            </w:pPr>
            <w:r>
              <w:t>13.5 – 0</w:t>
            </w:r>
          </w:p>
        </w:tc>
      </w:tr>
      <w:tr w:rsidR="0002524F" w:rsidTr="000A6911">
        <w:trPr>
          <w:trHeight w:val="565"/>
        </w:trPr>
        <w:tc>
          <w:tcPr>
            <w:tcW w:w="1282" w:type="dxa"/>
            <w:tcBorders>
              <w:top w:val="single" w:sz="6" w:space="0" w:color="000000"/>
              <w:bottom w:val="single" w:sz="6" w:space="0" w:color="000000"/>
            </w:tcBorders>
          </w:tcPr>
          <w:p w:rsidR="0002524F" w:rsidRDefault="0002524F" w:rsidP="000A6911">
            <w:pPr>
              <w:pStyle w:val="TableParagraph"/>
              <w:spacing w:before="136"/>
              <w:ind w:left="90"/>
            </w:pPr>
            <w:r>
              <w:t>30</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6"/>
              <w:ind w:left="95"/>
            </w:pPr>
            <w:r>
              <w:t>30.0 – 29.0</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7"/>
            </w:pPr>
            <w:r>
              <w:t>28.5 – 27.0</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101"/>
            </w:pPr>
            <w:r>
              <w:t>26.5 -24.0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9"/>
            </w:pPr>
            <w:r>
              <w:t>23.5 – 21.0</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6"/>
              <w:ind w:left="102"/>
            </w:pPr>
            <w:r>
              <w:t>20.5 – 0</w:t>
            </w:r>
          </w:p>
        </w:tc>
      </w:tr>
      <w:tr w:rsidR="0002524F" w:rsidTr="000A6911">
        <w:trPr>
          <w:trHeight w:val="566"/>
        </w:trPr>
        <w:tc>
          <w:tcPr>
            <w:tcW w:w="1282" w:type="dxa"/>
            <w:tcBorders>
              <w:top w:val="single" w:sz="6" w:space="0" w:color="000000"/>
              <w:bottom w:val="single" w:sz="6" w:space="0" w:color="000000"/>
            </w:tcBorders>
          </w:tcPr>
          <w:p w:rsidR="0002524F" w:rsidRDefault="0002524F" w:rsidP="000A6911">
            <w:pPr>
              <w:pStyle w:val="TableParagraph"/>
              <w:spacing w:before="134"/>
              <w:ind w:left="90"/>
            </w:pPr>
            <w:r>
              <w:t>35</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4"/>
              <w:ind w:left="95"/>
            </w:pPr>
            <w:r>
              <w:t>35.0 – 33.0</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7"/>
            </w:pPr>
            <w:r>
              <w:t>32.5 – 31.5</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101"/>
            </w:pPr>
            <w:r>
              <w:t>31.5- 28.0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9"/>
            </w:pPr>
            <w:r>
              <w:t>27.5 – 24.5</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4"/>
              <w:ind w:left="102"/>
            </w:pPr>
            <w:r>
              <w:t>24.0 – 0</w:t>
            </w:r>
          </w:p>
        </w:tc>
      </w:tr>
      <w:tr w:rsidR="0002524F" w:rsidTr="000A6911">
        <w:trPr>
          <w:trHeight w:val="563"/>
        </w:trPr>
        <w:tc>
          <w:tcPr>
            <w:tcW w:w="1282" w:type="dxa"/>
            <w:tcBorders>
              <w:top w:val="single" w:sz="6" w:space="0" w:color="000000"/>
              <w:bottom w:val="single" w:sz="6" w:space="0" w:color="000000"/>
            </w:tcBorders>
          </w:tcPr>
          <w:p w:rsidR="0002524F" w:rsidRDefault="0002524F" w:rsidP="000A6911">
            <w:pPr>
              <w:pStyle w:val="TableParagraph"/>
              <w:spacing w:before="134"/>
              <w:ind w:left="90"/>
            </w:pPr>
            <w:r>
              <w:t>60</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4"/>
              <w:ind w:left="95"/>
            </w:pPr>
            <w:r>
              <w:t>60.0 – 58.0</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7"/>
            </w:pPr>
            <w:r>
              <w:t>57.5 – 54.0</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8"/>
            </w:pPr>
            <w:r>
              <w:t>53.5 – 48.0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99"/>
            </w:pPr>
            <w:r>
              <w:t>47.5 – 42.0</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4"/>
              <w:ind w:left="102"/>
            </w:pPr>
            <w:r>
              <w:t>41.5 – 0</w:t>
            </w:r>
          </w:p>
        </w:tc>
      </w:tr>
      <w:tr w:rsidR="0002524F" w:rsidTr="000A6911">
        <w:trPr>
          <w:trHeight w:val="565"/>
        </w:trPr>
        <w:tc>
          <w:tcPr>
            <w:tcW w:w="1282" w:type="dxa"/>
            <w:tcBorders>
              <w:top w:val="single" w:sz="6" w:space="0" w:color="000000"/>
              <w:bottom w:val="single" w:sz="6" w:space="0" w:color="000000"/>
            </w:tcBorders>
          </w:tcPr>
          <w:p w:rsidR="0002524F" w:rsidRDefault="0002524F" w:rsidP="000A6911">
            <w:pPr>
              <w:pStyle w:val="TableParagraph"/>
              <w:spacing w:before="136"/>
              <w:ind w:left="90"/>
            </w:pPr>
            <w:r>
              <w:t>70</w:t>
            </w:r>
          </w:p>
        </w:tc>
        <w:tc>
          <w:tcPr>
            <w:tcW w:w="1429" w:type="dxa"/>
            <w:tcBorders>
              <w:top w:val="single" w:sz="6" w:space="0" w:color="000000"/>
              <w:bottom w:val="single" w:sz="6" w:space="0" w:color="000000"/>
              <w:right w:val="single" w:sz="6" w:space="0" w:color="000000"/>
            </w:tcBorders>
          </w:tcPr>
          <w:p w:rsidR="0002524F" w:rsidRDefault="0002524F" w:rsidP="000A6911">
            <w:pPr>
              <w:pStyle w:val="TableParagraph"/>
              <w:spacing w:before="136"/>
              <w:ind w:left="95"/>
            </w:pPr>
            <w:r>
              <w:t>70.0 – 66.5</w:t>
            </w:r>
          </w:p>
        </w:tc>
        <w:tc>
          <w:tcPr>
            <w:tcW w:w="1417"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7"/>
            </w:pPr>
            <w:r>
              <w:t>66.0 – 63.0</w:t>
            </w:r>
          </w:p>
        </w:tc>
        <w:tc>
          <w:tcPr>
            <w:tcW w:w="1418"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8"/>
            </w:pPr>
            <w:r>
              <w:t>62.5 – 56.0</w:t>
            </w:r>
          </w:p>
        </w:tc>
        <w:tc>
          <w:tcPr>
            <w:tcW w:w="1610" w:type="dxa"/>
            <w:gridSpan w:val="2"/>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99"/>
            </w:pPr>
            <w:r>
              <w:t>55.5 – 49.0</w:t>
            </w:r>
          </w:p>
        </w:tc>
        <w:tc>
          <w:tcPr>
            <w:tcW w:w="1609" w:type="dxa"/>
            <w:tcBorders>
              <w:top w:val="single" w:sz="6" w:space="0" w:color="000000"/>
              <w:left w:val="single" w:sz="6" w:space="0" w:color="000000"/>
              <w:bottom w:val="single" w:sz="6" w:space="0" w:color="000000"/>
            </w:tcBorders>
          </w:tcPr>
          <w:p w:rsidR="0002524F" w:rsidRDefault="0002524F" w:rsidP="000A6911">
            <w:pPr>
              <w:pStyle w:val="TableParagraph"/>
              <w:spacing w:before="136"/>
              <w:ind w:left="102"/>
            </w:pPr>
            <w:r>
              <w:t>48.5 – 0</w:t>
            </w:r>
          </w:p>
        </w:tc>
      </w:tr>
    </w:tbl>
    <w:p w:rsidR="0002524F" w:rsidRDefault="0002524F" w:rsidP="0002524F">
      <w:pPr>
        <w:sectPr w:rsidR="0002524F">
          <w:pgSz w:w="11910" w:h="16840"/>
          <w:pgMar w:top="1580" w:right="300" w:bottom="1520" w:left="740" w:header="0" w:footer="1265" w:gutter="0"/>
          <w:cols w:space="708"/>
        </w:sectPr>
      </w:pPr>
    </w:p>
    <w:p w:rsidR="0002524F" w:rsidRDefault="0002524F" w:rsidP="0002524F">
      <w:pPr>
        <w:pStyle w:val="Zkladntext"/>
        <w:spacing w:before="11"/>
        <w:ind w:left="0"/>
        <w:rPr>
          <w:sz w:val="8"/>
        </w:rPr>
      </w:pPr>
    </w:p>
    <w:tbl>
      <w:tblPr>
        <w:tblStyle w:val="TableNormal"/>
        <w:tblW w:w="0" w:type="auto"/>
        <w:tblInd w:w="1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2"/>
        <w:gridCol w:w="1429"/>
        <w:gridCol w:w="1416"/>
        <w:gridCol w:w="1416"/>
        <w:gridCol w:w="1608"/>
        <w:gridCol w:w="1607"/>
      </w:tblGrid>
      <w:tr w:rsidR="0002524F" w:rsidTr="000A6911">
        <w:trPr>
          <w:trHeight w:val="563"/>
        </w:trPr>
        <w:tc>
          <w:tcPr>
            <w:tcW w:w="1282" w:type="dxa"/>
            <w:tcBorders>
              <w:left w:val="single" w:sz="12" w:space="0" w:color="000000"/>
              <w:right w:val="single" w:sz="12" w:space="0" w:color="000000"/>
            </w:tcBorders>
          </w:tcPr>
          <w:p w:rsidR="0002524F" w:rsidRDefault="0002524F" w:rsidP="000A6911">
            <w:pPr>
              <w:pStyle w:val="TableParagraph"/>
              <w:spacing w:before="134"/>
              <w:ind w:left="90"/>
            </w:pPr>
            <w:r>
              <w:t>80</w:t>
            </w:r>
          </w:p>
        </w:tc>
        <w:tc>
          <w:tcPr>
            <w:tcW w:w="1429" w:type="dxa"/>
            <w:tcBorders>
              <w:left w:val="single" w:sz="12" w:space="0" w:color="000000"/>
            </w:tcBorders>
          </w:tcPr>
          <w:p w:rsidR="0002524F" w:rsidRDefault="0002524F" w:rsidP="000A6911">
            <w:pPr>
              <w:pStyle w:val="TableParagraph"/>
              <w:spacing w:before="134"/>
              <w:ind w:left="95"/>
            </w:pPr>
            <w:r>
              <w:t>80.0 – 76.0</w:t>
            </w:r>
          </w:p>
        </w:tc>
        <w:tc>
          <w:tcPr>
            <w:tcW w:w="1416" w:type="dxa"/>
          </w:tcPr>
          <w:p w:rsidR="0002524F" w:rsidRDefault="0002524F" w:rsidP="000A6911">
            <w:pPr>
              <w:pStyle w:val="TableParagraph"/>
              <w:spacing w:before="134"/>
              <w:ind w:left="99"/>
            </w:pPr>
            <w:r>
              <w:t>75.5 -72.0</w:t>
            </w:r>
          </w:p>
        </w:tc>
        <w:tc>
          <w:tcPr>
            <w:tcW w:w="1416" w:type="dxa"/>
          </w:tcPr>
          <w:p w:rsidR="0002524F" w:rsidRDefault="0002524F" w:rsidP="000A6911">
            <w:pPr>
              <w:pStyle w:val="TableParagraph"/>
              <w:spacing w:before="134"/>
              <w:ind w:left="99"/>
            </w:pPr>
            <w:r>
              <w:t>71.5 – 64.0</w:t>
            </w:r>
          </w:p>
        </w:tc>
        <w:tc>
          <w:tcPr>
            <w:tcW w:w="1608" w:type="dxa"/>
          </w:tcPr>
          <w:p w:rsidR="0002524F" w:rsidRDefault="0002524F" w:rsidP="000A6911">
            <w:pPr>
              <w:pStyle w:val="TableParagraph"/>
              <w:spacing w:before="134"/>
              <w:ind w:left="102"/>
            </w:pPr>
            <w:r>
              <w:t>63.5 – 56.0</w:t>
            </w:r>
          </w:p>
        </w:tc>
        <w:tc>
          <w:tcPr>
            <w:tcW w:w="1607" w:type="dxa"/>
            <w:tcBorders>
              <w:right w:val="single" w:sz="12" w:space="0" w:color="000000"/>
            </w:tcBorders>
          </w:tcPr>
          <w:p w:rsidR="0002524F" w:rsidRDefault="0002524F" w:rsidP="000A6911">
            <w:pPr>
              <w:pStyle w:val="TableParagraph"/>
              <w:spacing w:before="134"/>
              <w:ind w:left="107"/>
            </w:pPr>
            <w:r>
              <w:t>55.5 – 0</w:t>
            </w:r>
          </w:p>
        </w:tc>
      </w:tr>
      <w:tr w:rsidR="0002524F" w:rsidTr="000A6911">
        <w:trPr>
          <w:trHeight w:val="563"/>
        </w:trPr>
        <w:tc>
          <w:tcPr>
            <w:tcW w:w="1282" w:type="dxa"/>
            <w:tcBorders>
              <w:left w:val="single" w:sz="12" w:space="0" w:color="000000"/>
              <w:right w:val="single" w:sz="12" w:space="0" w:color="000000"/>
            </w:tcBorders>
          </w:tcPr>
          <w:p w:rsidR="0002524F" w:rsidRDefault="0002524F" w:rsidP="000A6911">
            <w:pPr>
              <w:pStyle w:val="TableParagraph"/>
              <w:spacing w:before="134"/>
              <w:ind w:left="90"/>
            </w:pPr>
            <w:r>
              <w:t>100</w:t>
            </w:r>
          </w:p>
        </w:tc>
        <w:tc>
          <w:tcPr>
            <w:tcW w:w="1429" w:type="dxa"/>
            <w:tcBorders>
              <w:left w:val="single" w:sz="12" w:space="0" w:color="000000"/>
            </w:tcBorders>
          </w:tcPr>
          <w:p w:rsidR="0002524F" w:rsidRDefault="0002524F" w:rsidP="000A6911">
            <w:pPr>
              <w:pStyle w:val="TableParagraph"/>
              <w:spacing w:before="134"/>
              <w:ind w:left="97"/>
            </w:pPr>
            <w:r>
              <w:t>100 – 96.0</w:t>
            </w:r>
          </w:p>
        </w:tc>
        <w:tc>
          <w:tcPr>
            <w:tcW w:w="1416" w:type="dxa"/>
          </w:tcPr>
          <w:p w:rsidR="0002524F" w:rsidRDefault="0002524F" w:rsidP="000A6911">
            <w:pPr>
              <w:pStyle w:val="TableParagraph"/>
              <w:spacing w:before="134"/>
              <w:ind w:left="97"/>
            </w:pPr>
            <w:r>
              <w:t>95.5 – 90.0</w:t>
            </w:r>
          </w:p>
        </w:tc>
        <w:tc>
          <w:tcPr>
            <w:tcW w:w="1416" w:type="dxa"/>
          </w:tcPr>
          <w:p w:rsidR="0002524F" w:rsidRDefault="0002524F" w:rsidP="000A6911">
            <w:pPr>
              <w:pStyle w:val="TableParagraph"/>
              <w:spacing w:before="134"/>
              <w:ind w:left="99"/>
            </w:pPr>
            <w:r>
              <w:t>89.5 – 80.0</w:t>
            </w:r>
          </w:p>
        </w:tc>
        <w:tc>
          <w:tcPr>
            <w:tcW w:w="1608" w:type="dxa"/>
          </w:tcPr>
          <w:p w:rsidR="0002524F" w:rsidRDefault="0002524F" w:rsidP="000A6911">
            <w:pPr>
              <w:pStyle w:val="TableParagraph"/>
              <w:spacing w:before="134"/>
              <w:ind w:left="102"/>
            </w:pPr>
            <w:r>
              <w:t>79.5 – 70.0</w:t>
            </w:r>
          </w:p>
        </w:tc>
        <w:tc>
          <w:tcPr>
            <w:tcW w:w="1607" w:type="dxa"/>
            <w:tcBorders>
              <w:right w:val="single" w:sz="12" w:space="0" w:color="000000"/>
            </w:tcBorders>
          </w:tcPr>
          <w:p w:rsidR="0002524F" w:rsidRDefault="0002524F" w:rsidP="000A6911">
            <w:pPr>
              <w:pStyle w:val="TableParagraph"/>
              <w:spacing w:before="134"/>
              <w:ind w:left="107"/>
            </w:pPr>
            <w:r>
              <w:t>69.5 – 0</w:t>
            </w:r>
          </w:p>
        </w:tc>
      </w:tr>
      <w:tr w:rsidR="0002524F" w:rsidTr="000A6911">
        <w:trPr>
          <w:trHeight w:val="565"/>
        </w:trPr>
        <w:tc>
          <w:tcPr>
            <w:tcW w:w="1282" w:type="dxa"/>
            <w:tcBorders>
              <w:left w:val="single" w:sz="12" w:space="0" w:color="000000"/>
              <w:right w:val="single" w:sz="12" w:space="0" w:color="000000"/>
            </w:tcBorders>
          </w:tcPr>
          <w:p w:rsidR="0002524F" w:rsidRDefault="0002524F" w:rsidP="000A6911">
            <w:pPr>
              <w:pStyle w:val="TableParagraph"/>
              <w:spacing w:before="136"/>
              <w:ind w:left="90"/>
            </w:pPr>
            <w:r>
              <w:t>200</w:t>
            </w:r>
          </w:p>
        </w:tc>
        <w:tc>
          <w:tcPr>
            <w:tcW w:w="1429" w:type="dxa"/>
            <w:tcBorders>
              <w:left w:val="single" w:sz="12" w:space="0" w:color="000000"/>
            </w:tcBorders>
          </w:tcPr>
          <w:p w:rsidR="0002524F" w:rsidRDefault="0002524F" w:rsidP="000A6911">
            <w:pPr>
              <w:pStyle w:val="TableParagraph"/>
              <w:spacing w:before="136"/>
              <w:ind w:left="95"/>
            </w:pPr>
            <w:r>
              <w:t>200-192</w:t>
            </w:r>
          </w:p>
        </w:tc>
        <w:tc>
          <w:tcPr>
            <w:tcW w:w="1416" w:type="dxa"/>
          </w:tcPr>
          <w:p w:rsidR="0002524F" w:rsidRDefault="0002524F" w:rsidP="000A6911">
            <w:pPr>
              <w:pStyle w:val="TableParagraph"/>
              <w:spacing w:before="136"/>
              <w:ind w:left="97"/>
            </w:pPr>
            <w:r>
              <w:t>191 -180</w:t>
            </w:r>
          </w:p>
        </w:tc>
        <w:tc>
          <w:tcPr>
            <w:tcW w:w="1416" w:type="dxa"/>
          </w:tcPr>
          <w:p w:rsidR="0002524F" w:rsidRDefault="0002524F" w:rsidP="000A6911">
            <w:pPr>
              <w:pStyle w:val="TableParagraph"/>
              <w:spacing w:before="136"/>
              <w:ind w:left="102"/>
            </w:pPr>
            <w:r>
              <w:t>179 - 160</w:t>
            </w:r>
          </w:p>
        </w:tc>
        <w:tc>
          <w:tcPr>
            <w:tcW w:w="1608" w:type="dxa"/>
          </w:tcPr>
          <w:p w:rsidR="0002524F" w:rsidRDefault="0002524F" w:rsidP="000A6911">
            <w:pPr>
              <w:pStyle w:val="TableParagraph"/>
              <w:spacing w:before="136"/>
              <w:ind w:left="100"/>
            </w:pPr>
            <w:r>
              <w:t>159 - 140</w:t>
            </w:r>
          </w:p>
        </w:tc>
        <w:tc>
          <w:tcPr>
            <w:tcW w:w="1607" w:type="dxa"/>
            <w:tcBorders>
              <w:right w:val="single" w:sz="12" w:space="0" w:color="000000"/>
            </w:tcBorders>
          </w:tcPr>
          <w:p w:rsidR="0002524F" w:rsidRDefault="0002524F" w:rsidP="000A6911">
            <w:pPr>
              <w:pStyle w:val="TableParagraph"/>
              <w:spacing w:before="136"/>
              <w:ind w:left="105"/>
            </w:pPr>
            <w:r>
              <w:t>139 - 0</w:t>
            </w:r>
          </w:p>
        </w:tc>
      </w:tr>
      <w:tr w:rsidR="0002524F" w:rsidTr="000A6911">
        <w:trPr>
          <w:trHeight w:val="572"/>
        </w:trPr>
        <w:tc>
          <w:tcPr>
            <w:tcW w:w="1282" w:type="dxa"/>
            <w:tcBorders>
              <w:left w:val="single" w:sz="12" w:space="0" w:color="000000"/>
              <w:bottom w:val="single" w:sz="12" w:space="0" w:color="000000"/>
              <w:right w:val="single" w:sz="12" w:space="0" w:color="000000"/>
            </w:tcBorders>
          </w:tcPr>
          <w:p w:rsidR="0002524F" w:rsidRDefault="0002524F" w:rsidP="000A6911">
            <w:pPr>
              <w:pStyle w:val="TableParagraph"/>
              <w:spacing w:before="134"/>
              <w:ind w:left="90"/>
            </w:pPr>
            <w:r>
              <w:t>300</w:t>
            </w:r>
          </w:p>
        </w:tc>
        <w:tc>
          <w:tcPr>
            <w:tcW w:w="1429" w:type="dxa"/>
            <w:tcBorders>
              <w:left w:val="single" w:sz="12" w:space="0" w:color="000000"/>
              <w:bottom w:val="single" w:sz="12" w:space="0" w:color="000000"/>
            </w:tcBorders>
          </w:tcPr>
          <w:p w:rsidR="0002524F" w:rsidRDefault="0002524F" w:rsidP="000A6911">
            <w:pPr>
              <w:pStyle w:val="TableParagraph"/>
              <w:spacing w:before="134"/>
              <w:ind w:left="95"/>
            </w:pPr>
            <w:r>
              <w:t>300 -286</w:t>
            </w:r>
          </w:p>
        </w:tc>
        <w:tc>
          <w:tcPr>
            <w:tcW w:w="1416" w:type="dxa"/>
            <w:tcBorders>
              <w:bottom w:val="single" w:sz="12" w:space="0" w:color="000000"/>
            </w:tcBorders>
          </w:tcPr>
          <w:p w:rsidR="0002524F" w:rsidRDefault="0002524F" w:rsidP="000A6911">
            <w:pPr>
              <w:pStyle w:val="TableParagraph"/>
              <w:spacing w:before="134"/>
              <w:ind w:left="97"/>
            </w:pPr>
            <w:r>
              <w:t>285 -270</w:t>
            </w:r>
          </w:p>
        </w:tc>
        <w:tc>
          <w:tcPr>
            <w:tcW w:w="1416" w:type="dxa"/>
            <w:tcBorders>
              <w:bottom w:val="single" w:sz="12" w:space="0" w:color="000000"/>
            </w:tcBorders>
          </w:tcPr>
          <w:p w:rsidR="0002524F" w:rsidRDefault="0002524F" w:rsidP="000A6911">
            <w:pPr>
              <w:pStyle w:val="TableParagraph"/>
              <w:spacing w:before="134"/>
              <w:ind w:left="99"/>
            </w:pPr>
            <w:r>
              <w:t>269 -240</w:t>
            </w:r>
          </w:p>
        </w:tc>
        <w:tc>
          <w:tcPr>
            <w:tcW w:w="1608" w:type="dxa"/>
            <w:tcBorders>
              <w:bottom w:val="single" w:sz="12" w:space="0" w:color="000000"/>
            </w:tcBorders>
          </w:tcPr>
          <w:p w:rsidR="0002524F" w:rsidRDefault="0002524F" w:rsidP="000A6911">
            <w:pPr>
              <w:pStyle w:val="TableParagraph"/>
              <w:spacing w:before="134"/>
              <w:ind w:left="102"/>
            </w:pPr>
            <w:r>
              <w:t>239 -210</w:t>
            </w:r>
          </w:p>
        </w:tc>
        <w:tc>
          <w:tcPr>
            <w:tcW w:w="1607" w:type="dxa"/>
            <w:tcBorders>
              <w:bottom w:val="single" w:sz="12" w:space="0" w:color="000000"/>
              <w:right w:val="single" w:sz="12" w:space="0" w:color="000000"/>
            </w:tcBorders>
          </w:tcPr>
          <w:p w:rsidR="0002524F" w:rsidRDefault="0002524F" w:rsidP="000A6911">
            <w:pPr>
              <w:pStyle w:val="TableParagraph"/>
              <w:spacing w:before="134"/>
              <w:ind w:left="105"/>
            </w:pPr>
            <w:r>
              <w:t>209 -0</w:t>
            </w:r>
          </w:p>
        </w:tc>
      </w:tr>
    </w:tbl>
    <w:p w:rsidR="0002524F" w:rsidRDefault="0002524F" w:rsidP="0002524F">
      <w:pPr>
        <w:pStyle w:val="Zkladntext"/>
        <w:spacing w:before="5"/>
        <w:ind w:left="0"/>
        <w:rPr>
          <w:sz w:val="15"/>
        </w:rPr>
      </w:pPr>
    </w:p>
    <w:p w:rsidR="0002524F" w:rsidRDefault="0002524F" w:rsidP="0002524F">
      <w:pPr>
        <w:pStyle w:val="Zkladntext"/>
        <w:spacing w:before="93"/>
        <w:ind w:right="832"/>
        <w:jc w:val="both"/>
      </w:pPr>
      <w:r>
        <w:t>Při posuzování jednotlivých cviků se mohou udělovat i půlbody. Při celkovém hodnocení oddílu se musí udělovat pouze celé body. Pokud konečný součet bodů oddílu nevykazuje celé body, výsledek se dle celkového dojmu zaokrouhlí buď směrem nahoru, nebo dolů. Pokud pes získá v každém oddíle příslušného stupně zkoušky nejméně 70% možných bodů, považuje se zkouška za splněnou.</w:t>
      </w:r>
    </w:p>
    <w:p w:rsidR="0002524F" w:rsidRDefault="0002524F" w:rsidP="0002524F">
      <w:pPr>
        <w:pStyle w:val="Zkladntext"/>
        <w:spacing w:before="4"/>
        <w:ind w:left="0"/>
      </w:pPr>
    </w:p>
    <w:p w:rsidR="0002524F" w:rsidRDefault="0002524F" w:rsidP="0002524F">
      <w:pPr>
        <w:pStyle w:val="Nadpis2"/>
        <w:numPr>
          <w:ilvl w:val="1"/>
          <w:numId w:val="7"/>
        </w:numPr>
        <w:tabs>
          <w:tab w:val="left" w:pos="1870"/>
        </w:tabs>
        <w:jc w:val="both"/>
        <w:rPr>
          <w:u w:val="none"/>
        </w:rPr>
      </w:pPr>
      <w:bookmarkStart w:id="27" w:name="_bookmark27"/>
      <w:bookmarkEnd w:id="27"/>
      <w:r>
        <w:rPr>
          <w:u w:val="thick"/>
        </w:rPr>
        <w:t>Procentuální</w:t>
      </w:r>
      <w:r>
        <w:rPr>
          <w:spacing w:val="-1"/>
          <w:u w:val="thick"/>
        </w:rPr>
        <w:t xml:space="preserve"> </w:t>
      </w:r>
      <w:r>
        <w:rPr>
          <w:u w:val="thick"/>
        </w:rPr>
        <w:t>hodnocení</w:t>
      </w:r>
    </w:p>
    <w:p w:rsidR="0002524F" w:rsidRDefault="0002524F" w:rsidP="0002524F">
      <w:pPr>
        <w:pStyle w:val="Zkladntext"/>
        <w:spacing w:before="11"/>
        <w:ind w:left="0"/>
        <w:rPr>
          <w:rFonts w:ascii="Times New Roman"/>
          <w:b/>
          <w:sz w:val="11"/>
        </w:rPr>
      </w:pPr>
    </w:p>
    <w:tbl>
      <w:tblPr>
        <w:tblStyle w:val="TableNormal"/>
        <w:tblW w:w="0" w:type="auto"/>
        <w:tblInd w:w="14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7"/>
        <w:gridCol w:w="2520"/>
        <w:gridCol w:w="3257"/>
      </w:tblGrid>
      <w:tr w:rsidR="0002524F" w:rsidTr="000A6911">
        <w:trPr>
          <w:trHeight w:val="574"/>
        </w:trPr>
        <w:tc>
          <w:tcPr>
            <w:tcW w:w="2907" w:type="dxa"/>
            <w:tcBorders>
              <w:right w:val="single" w:sz="6" w:space="0" w:color="000000"/>
            </w:tcBorders>
            <w:shd w:val="clear" w:color="auto" w:fill="D9D9D9"/>
          </w:tcPr>
          <w:p w:rsidR="0002524F" w:rsidRDefault="0002524F" w:rsidP="000A6911">
            <w:pPr>
              <w:pStyle w:val="TableParagraph"/>
              <w:spacing w:before="134"/>
              <w:ind w:left="114"/>
              <w:rPr>
                <w:b/>
              </w:rPr>
            </w:pPr>
            <w:r>
              <w:rPr>
                <w:b/>
              </w:rPr>
              <w:t>Procentuální hodnocení</w:t>
            </w:r>
          </w:p>
        </w:tc>
        <w:tc>
          <w:tcPr>
            <w:tcW w:w="2520" w:type="dxa"/>
            <w:tcBorders>
              <w:left w:val="single" w:sz="6" w:space="0" w:color="000000"/>
              <w:right w:val="single" w:sz="6" w:space="0" w:color="000000"/>
            </w:tcBorders>
            <w:shd w:val="clear" w:color="auto" w:fill="D9D9D9"/>
          </w:tcPr>
          <w:p w:rsidR="0002524F" w:rsidRDefault="0002524F" w:rsidP="000A6911">
            <w:pPr>
              <w:pStyle w:val="TableParagraph"/>
              <w:spacing w:before="136"/>
              <w:ind w:left="124"/>
            </w:pPr>
            <w:r>
              <w:t>Bodový zisk</w:t>
            </w:r>
          </w:p>
        </w:tc>
        <w:tc>
          <w:tcPr>
            <w:tcW w:w="3257" w:type="dxa"/>
            <w:tcBorders>
              <w:left w:val="single" w:sz="6" w:space="0" w:color="000000"/>
            </w:tcBorders>
            <w:shd w:val="clear" w:color="auto" w:fill="D9D9D9"/>
          </w:tcPr>
          <w:p w:rsidR="0002524F" w:rsidRDefault="0002524F" w:rsidP="000A6911">
            <w:pPr>
              <w:pStyle w:val="TableParagraph"/>
              <w:spacing w:before="136"/>
              <w:ind w:left="132"/>
            </w:pPr>
            <w:r>
              <w:t>Bodová srážka</w:t>
            </w:r>
          </w:p>
        </w:tc>
      </w:tr>
      <w:tr w:rsidR="0002524F" w:rsidTr="000A6911">
        <w:trPr>
          <w:trHeight w:val="575"/>
        </w:trPr>
        <w:tc>
          <w:tcPr>
            <w:tcW w:w="2907" w:type="dxa"/>
            <w:tcBorders>
              <w:bottom w:val="single" w:sz="6" w:space="0" w:color="000000"/>
              <w:right w:val="single" w:sz="6" w:space="0" w:color="000000"/>
            </w:tcBorders>
          </w:tcPr>
          <w:p w:rsidR="0002524F" w:rsidRDefault="0002524F" w:rsidP="000A6911">
            <w:pPr>
              <w:pStyle w:val="TableParagraph"/>
              <w:spacing w:before="134"/>
              <w:ind w:left="114"/>
            </w:pPr>
            <w:r>
              <w:t>Výborně</w:t>
            </w:r>
          </w:p>
        </w:tc>
        <w:tc>
          <w:tcPr>
            <w:tcW w:w="2520" w:type="dxa"/>
            <w:tcBorders>
              <w:left w:val="single" w:sz="6" w:space="0" w:color="000000"/>
              <w:bottom w:val="single" w:sz="6" w:space="0" w:color="000000"/>
              <w:right w:val="single" w:sz="6" w:space="0" w:color="000000"/>
            </w:tcBorders>
          </w:tcPr>
          <w:p w:rsidR="0002524F" w:rsidRDefault="0002524F" w:rsidP="000A6911">
            <w:pPr>
              <w:pStyle w:val="TableParagraph"/>
              <w:spacing w:before="134"/>
              <w:ind w:left="126"/>
            </w:pPr>
            <w:r>
              <w:t>= minimálně 96 %</w:t>
            </w:r>
          </w:p>
        </w:tc>
        <w:tc>
          <w:tcPr>
            <w:tcW w:w="3257" w:type="dxa"/>
            <w:tcBorders>
              <w:left w:val="single" w:sz="6" w:space="0" w:color="000000"/>
              <w:bottom w:val="single" w:sz="6" w:space="0" w:color="000000"/>
            </w:tcBorders>
          </w:tcPr>
          <w:p w:rsidR="0002524F" w:rsidRDefault="0002524F" w:rsidP="000A6911">
            <w:pPr>
              <w:pStyle w:val="TableParagraph"/>
              <w:spacing w:before="134"/>
              <w:ind w:left="129"/>
            </w:pPr>
            <w:r>
              <w:t>maximálně 4 %</w:t>
            </w:r>
          </w:p>
        </w:tc>
      </w:tr>
      <w:tr w:rsidR="0002524F" w:rsidTr="000A6911">
        <w:trPr>
          <w:trHeight w:val="563"/>
        </w:trPr>
        <w:tc>
          <w:tcPr>
            <w:tcW w:w="2907" w:type="dxa"/>
            <w:tcBorders>
              <w:top w:val="single" w:sz="6" w:space="0" w:color="000000"/>
              <w:bottom w:val="single" w:sz="6" w:space="0" w:color="000000"/>
              <w:right w:val="single" w:sz="6" w:space="0" w:color="000000"/>
            </w:tcBorders>
          </w:tcPr>
          <w:p w:rsidR="0002524F" w:rsidRDefault="0002524F" w:rsidP="000A6911">
            <w:pPr>
              <w:pStyle w:val="TableParagraph"/>
              <w:spacing w:before="134"/>
              <w:ind w:left="114"/>
            </w:pPr>
            <w:r>
              <w:t>Velmi dobře</w:t>
            </w:r>
          </w:p>
        </w:tc>
        <w:tc>
          <w:tcPr>
            <w:tcW w:w="2520" w:type="dxa"/>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124"/>
            </w:pPr>
            <w:r>
              <w:t>= 90 až 95 %</w:t>
            </w:r>
          </w:p>
        </w:tc>
        <w:tc>
          <w:tcPr>
            <w:tcW w:w="3257" w:type="dxa"/>
            <w:tcBorders>
              <w:top w:val="single" w:sz="6" w:space="0" w:color="000000"/>
              <w:left w:val="single" w:sz="6" w:space="0" w:color="000000"/>
              <w:bottom w:val="single" w:sz="6" w:space="0" w:color="000000"/>
            </w:tcBorders>
          </w:tcPr>
          <w:p w:rsidR="0002524F" w:rsidRDefault="0002524F" w:rsidP="000A6911">
            <w:pPr>
              <w:pStyle w:val="TableParagraph"/>
              <w:spacing w:before="134"/>
              <w:ind w:left="132"/>
            </w:pPr>
            <w:r>
              <w:t>5 až 10 %</w:t>
            </w:r>
          </w:p>
        </w:tc>
      </w:tr>
      <w:tr w:rsidR="0002524F" w:rsidTr="000A6911">
        <w:trPr>
          <w:trHeight w:val="563"/>
        </w:trPr>
        <w:tc>
          <w:tcPr>
            <w:tcW w:w="2907" w:type="dxa"/>
            <w:tcBorders>
              <w:top w:val="single" w:sz="6" w:space="0" w:color="000000"/>
              <w:bottom w:val="single" w:sz="6" w:space="0" w:color="000000"/>
              <w:right w:val="single" w:sz="6" w:space="0" w:color="000000"/>
            </w:tcBorders>
          </w:tcPr>
          <w:p w:rsidR="0002524F" w:rsidRDefault="0002524F" w:rsidP="000A6911">
            <w:pPr>
              <w:pStyle w:val="TableParagraph"/>
              <w:spacing w:before="134"/>
              <w:ind w:left="114"/>
            </w:pPr>
            <w:r>
              <w:t>Dobře</w:t>
            </w:r>
          </w:p>
        </w:tc>
        <w:tc>
          <w:tcPr>
            <w:tcW w:w="2520" w:type="dxa"/>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4"/>
              <w:ind w:left="124"/>
            </w:pPr>
            <w:r>
              <w:t>= 80 až 89 %</w:t>
            </w:r>
          </w:p>
        </w:tc>
        <w:tc>
          <w:tcPr>
            <w:tcW w:w="3257" w:type="dxa"/>
            <w:tcBorders>
              <w:top w:val="single" w:sz="6" w:space="0" w:color="000000"/>
              <w:left w:val="single" w:sz="6" w:space="0" w:color="000000"/>
              <w:bottom w:val="single" w:sz="6" w:space="0" w:color="000000"/>
            </w:tcBorders>
          </w:tcPr>
          <w:p w:rsidR="0002524F" w:rsidRDefault="0002524F" w:rsidP="000A6911">
            <w:pPr>
              <w:pStyle w:val="TableParagraph"/>
              <w:spacing w:before="134"/>
              <w:ind w:left="129"/>
            </w:pPr>
            <w:r>
              <w:t>11 až 20 %</w:t>
            </w:r>
          </w:p>
        </w:tc>
      </w:tr>
      <w:tr w:rsidR="0002524F" w:rsidTr="000A6911">
        <w:trPr>
          <w:trHeight w:val="568"/>
        </w:trPr>
        <w:tc>
          <w:tcPr>
            <w:tcW w:w="2907" w:type="dxa"/>
            <w:tcBorders>
              <w:top w:val="single" w:sz="6" w:space="0" w:color="000000"/>
              <w:bottom w:val="single" w:sz="6" w:space="0" w:color="000000"/>
              <w:right w:val="single" w:sz="6" w:space="0" w:color="000000"/>
            </w:tcBorders>
          </w:tcPr>
          <w:p w:rsidR="0002524F" w:rsidRDefault="0002524F" w:rsidP="000A6911">
            <w:pPr>
              <w:pStyle w:val="TableParagraph"/>
              <w:spacing w:before="136"/>
              <w:ind w:left="114"/>
            </w:pPr>
            <w:r>
              <w:t>Uspokojivě</w:t>
            </w:r>
          </w:p>
        </w:tc>
        <w:tc>
          <w:tcPr>
            <w:tcW w:w="2520" w:type="dxa"/>
            <w:tcBorders>
              <w:top w:val="single" w:sz="6" w:space="0" w:color="000000"/>
              <w:left w:val="single" w:sz="6" w:space="0" w:color="000000"/>
              <w:bottom w:val="single" w:sz="6" w:space="0" w:color="000000"/>
              <w:right w:val="single" w:sz="6" w:space="0" w:color="000000"/>
            </w:tcBorders>
          </w:tcPr>
          <w:p w:rsidR="0002524F" w:rsidRDefault="0002524F" w:rsidP="000A6911">
            <w:pPr>
              <w:pStyle w:val="TableParagraph"/>
              <w:spacing w:before="136"/>
              <w:ind w:left="124"/>
            </w:pPr>
            <w:r>
              <w:t>= 70 až 79 %</w:t>
            </w:r>
          </w:p>
        </w:tc>
        <w:tc>
          <w:tcPr>
            <w:tcW w:w="3257" w:type="dxa"/>
            <w:tcBorders>
              <w:top w:val="single" w:sz="6" w:space="0" w:color="000000"/>
              <w:left w:val="single" w:sz="6" w:space="0" w:color="000000"/>
              <w:bottom w:val="single" w:sz="6" w:space="0" w:color="000000"/>
            </w:tcBorders>
          </w:tcPr>
          <w:p w:rsidR="0002524F" w:rsidRDefault="0002524F" w:rsidP="000A6911">
            <w:pPr>
              <w:pStyle w:val="TableParagraph"/>
              <w:spacing w:before="136"/>
              <w:ind w:left="129"/>
            </w:pPr>
            <w:r>
              <w:t>21 30 %</w:t>
            </w:r>
          </w:p>
        </w:tc>
      </w:tr>
      <w:tr w:rsidR="0002524F" w:rsidTr="000A6911">
        <w:trPr>
          <w:trHeight w:val="573"/>
        </w:trPr>
        <w:tc>
          <w:tcPr>
            <w:tcW w:w="2907" w:type="dxa"/>
            <w:tcBorders>
              <w:top w:val="single" w:sz="6" w:space="0" w:color="000000"/>
              <w:right w:val="single" w:sz="6" w:space="0" w:color="000000"/>
            </w:tcBorders>
          </w:tcPr>
          <w:p w:rsidR="0002524F" w:rsidRDefault="0002524F" w:rsidP="000A6911">
            <w:pPr>
              <w:pStyle w:val="TableParagraph"/>
              <w:spacing w:before="134"/>
              <w:ind w:left="114"/>
            </w:pPr>
            <w:r>
              <w:t>Nedostatečně</w:t>
            </w:r>
          </w:p>
        </w:tc>
        <w:tc>
          <w:tcPr>
            <w:tcW w:w="2520" w:type="dxa"/>
            <w:tcBorders>
              <w:top w:val="single" w:sz="6" w:space="0" w:color="000000"/>
              <w:left w:val="single" w:sz="6" w:space="0" w:color="000000"/>
              <w:right w:val="single" w:sz="6" w:space="0" w:color="000000"/>
            </w:tcBorders>
          </w:tcPr>
          <w:p w:rsidR="0002524F" w:rsidRDefault="0002524F" w:rsidP="000A6911">
            <w:pPr>
              <w:pStyle w:val="TableParagraph"/>
              <w:spacing w:before="134"/>
              <w:ind w:left="126"/>
            </w:pPr>
            <w:r>
              <w:t>= 69 % nebo méně</w:t>
            </w:r>
          </w:p>
        </w:tc>
        <w:tc>
          <w:tcPr>
            <w:tcW w:w="3257" w:type="dxa"/>
            <w:tcBorders>
              <w:top w:val="single" w:sz="6" w:space="0" w:color="000000"/>
              <w:left w:val="single" w:sz="6" w:space="0" w:color="000000"/>
            </w:tcBorders>
          </w:tcPr>
          <w:p w:rsidR="0002524F" w:rsidRDefault="0002524F" w:rsidP="000A6911">
            <w:pPr>
              <w:pStyle w:val="TableParagraph"/>
              <w:spacing w:before="134"/>
              <w:ind w:left="132"/>
            </w:pPr>
            <w:r>
              <w:t>31 až 100 %</w:t>
            </w:r>
          </w:p>
        </w:tc>
      </w:tr>
    </w:tbl>
    <w:p w:rsidR="0002524F" w:rsidRDefault="0002524F" w:rsidP="0002524F">
      <w:pPr>
        <w:pStyle w:val="Zkladntext"/>
        <w:spacing w:before="10"/>
        <w:ind w:left="0"/>
        <w:rPr>
          <w:rFonts w:ascii="Times New Roman"/>
          <w:b/>
          <w:sz w:val="32"/>
        </w:rPr>
      </w:pPr>
    </w:p>
    <w:p w:rsidR="0002524F" w:rsidRDefault="0002524F" w:rsidP="0002524F">
      <w:pPr>
        <w:pStyle w:val="Nadpis2"/>
        <w:numPr>
          <w:ilvl w:val="1"/>
          <w:numId w:val="7"/>
        </w:numPr>
        <w:tabs>
          <w:tab w:val="left" w:pos="1870"/>
        </w:tabs>
        <w:jc w:val="both"/>
        <w:rPr>
          <w:u w:val="none"/>
        </w:rPr>
      </w:pPr>
      <w:bookmarkStart w:id="28" w:name="_bookmark28"/>
      <w:bookmarkEnd w:id="28"/>
      <w:r>
        <w:rPr>
          <w:u w:val="thick"/>
        </w:rPr>
        <w:t>Pravidla práce</w:t>
      </w:r>
      <w:r>
        <w:rPr>
          <w:spacing w:val="-2"/>
          <w:u w:val="thick"/>
        </w:rPr>
        <w:t xml:space="preserve"> </w:t>
      </w:r>
      <w:r>
        <w:rPr>
          <w:u w:val="thick"/>
        </w:rPr>
        <w:t>figuranta:</w:t>
      </w:r>
    </w:p>
    <w:p w:rsidR="0002524F" w:rsidRDefault="0002524F" w:rsidP="0002524F">
      <w:pPr>
        <w:pStyle w:val="Odstavecseseznamem"/>
        <w:numPr>
          <w:ilvl w:val="0"/>
          <w:numId w:val="3"/>
        </w:numPr>
        <w:tabs>
          <w:tab w:val="left" w:pos="1978"/>
        </w:tabs>
        <w:spacing w:before="135"/>
        <w:jc w:val="both"/>
        <w:rPr>
          <w:b/>
        </w:rPr>
      </w:pPr>
      <w:r>
        <w:rPr>
          <w:b/>
        </w:rPr>
        <w:t>Předpoklady pro vykonávání práce figuranta v oddílu</w:t>
      </w:r>
      <w:r>
        <w:rPr>
          <w:b/>
          <w:spacing w:val="-6"/>
        </w:rPr>
        <w:t xml:space="preserve"> </w:t>
      </w:r>
      <w:r>
        <w:rPr>
          <w:b/>
        </w:rPr>
        <w:t>“C”</w:t>
      </w:r>
    </w:p>
    <w:p w:rsidR="0002524F" w:rsidRDefault="0002524F" w:rsidP="0002524F">
      <w:pPr>
        <w:pStyle w:val="Odstavecseseznamem"/>
        <w:numPr>
          <w:ilvl w:val="1"/>
          <w:numId w:val="3"/>
        </w:numPr>
        <w:tabs>
          <w:tab w:val="left" w:pos="1970"/>
        </w:tabs>
        <w:spacing w:before="14"/>
      </w:pPr>
      <w:r>
        <w:t>Figurant musí dodržovat ustanovení zkušebního</w:t>
      </w:r>
      <w:r>
        <w:rPr>
          <w:spacing w:val="-10"/>
        </w:rPr>
        <w:t xml:space="preserve"> </w:t>
      </w:r>
      <w:r>
        <w:t>řádu.</w:t>
      </w:r>
    </w:p>
    <w:p w:rsidR="0002524F" w:rsidRDefault="0002524F" w:rsidP="0002524F">
      <w:pPr>
        <w:pStyle w:val="Odstavecseseznamem"/>
        <w:numPr>
          <w:ilvl w:val="1"/>
          <w:numId w:val="3"/>
        </w:numPr>
        <w:tabs>
          <w:tab w:val="left" w:pos="1970"/>
        </w:tabs>
        <w:spacing w:before="11"/>
      </w:pPr>
      <w:r>
        <w:t>V den zkoušek se stává figurant v oddílu “C” asistentem</w:t>
      </w:r>
      <w:r>
        <w:rPr>
          <w:spacing w:val="-11"/>
        </w:rPr>
        <w:t xml:space="preserve"> </w:t>
      </w:r>
      <w:r>
        <w:t>rozhodčího.</w:t>
      </w:r>
    </w:p>
    <w:p w:rsidR="0002524F" w:rsidRDefault="0002524F" w:rsidP="0002524F">
      <w:pPr>
        <w:pStyle w:val="Odstavecseseznamem"/>
        <w:numPr>
          <w:ilvl w:val="1"/>
          <w:numId w:val="3"/>
        </w:numPr>
        <w:tabs>
          <w:tab w:val="left" w:pos="1970"/>
        </w:tabs>
        <w:spacing w:before="8" w:line="247" w:lineRule="auto"/>
        <w:ind w:right="829"/>
        <w:jc w:val="both"/>
      </w:pPr>
      <w:r>
        <w:t>S ohledem na osobní ochranu a bezpečnost, musí být figurant při výcviku, tak při zkouškách a soutěžích, vždy vybavený ochranným oblekem (figurantskými kalhotami, figurantskou vestou, rukávem, případně suspenzorem a</w:t>
      </w:r>
      <w:r>
        <w:rPr>
          <w:spacing w:val="-23"/>
        </w:rPr>
        <w:t xml:space="preserve"> </w:t>
      </w:r>
      <w:r>
        <w:t>rukavicemi).</w:t>
      </w:r>
    </w:p>
    <w:p w:rsidR="0002524F" w:rsidRDefault="0002524F" w:rsidP="0002524F">
      <w:pPr>
        <w:pStyle w:val="Odstavecseseznamem"/>
        <w:numPr>
          <w:ilvl w:val="1"/>
          <w:numId w:val="3"/>
        </w:numPr>
        <w:tabs>
          <w:tab w:val="left" w:pos="1970"/>
        </w:tabs>
        <w:spacing w:before="3" w:line="247" w:lineRule="auto"/>
        <w:ind w:right="841"/>
        <w:jc w:val="both"/>
      </w:pPr>
      <w:r>
        <w:t>Obuv figuranta musí odpovídat povětrnostním podmínkám, musí být pevná a s protiskluznou</w:t>
      </w:r>
      <w:r>
        <w:rPr>
          <w:spacing w:val="-1"/>
        </w:rPr>
        <w:t xml:space="preserve"> </w:t>
      </w:r>
      <w:r>
        <w:t>podrážkou.</w:t>
      </w:r>
    </w:p>
    <w:p w:rsidR="0002524F" w:rsidRDefault="0002524F" w:rsidP="0002524F">
      <w:pPr>
        <w:pStyle w:val="Odstavecseseznamem"/>
        <w:numPr>
          <w:ilvl w:val="1"/>
          <w:numId w:val="3"/>
        </w:numPr>
        <w:tabs>
          <w:tab w:val="left" w:pos="1970"/>
        </w:tabs>
        <w:spacing w:before="3" w:line="247" w:lineRule="auto"/>
        <w:ind w:right="836"/>
        <w:jc w:val="both"/>
      </w:pPr>
      <w:r>
        <w:t>Před zahájením oddílu "C" je figurant poučen rozhodčím. Svou činnost provádí závazně dle pokynů</w:t>
      </w:r>
      <w:r>
        <w:rPr>
          <w:spacing w:val="-1"/>
        </w:rPr>
        <w:t xml:space="preserve"> </w:t>
      </w:r>
      <w:r>
        <w:t>rozhodčího.</w:t>
      </w:r>
    </w:p>
    <w:p w:rsidR="0002524F" w:rsidRDefault="0002524F" w:rsidP="0002524F">
      <w:pPr>
        <w:pStyle w:val="Odstavecseseznamem"/>
        <w:numPr>
          <w:ilvl w:val="1"/>
          <w:numId w:val="3"/>
        </w:numPr>
        <w:tabs>
          <w:tab w:val="left" w:pos="1970"/>
        </w:tabs>
        <w:spacing w:before="5" w:line="247" w:lineRule="auto"/>
        <w:ind w:right="835"/>
        <w:jc w:val="both"/>
      </w:pPr>
      <w:r>
        <w:t>Při odzbrojování se figurant řídí pokyny psovoda, pokud je toto vyžadováno zkušebním řádem. Na začátku bočního nebo zadního doprovodu musí umožnit psovodovi se psem zaujetí základního</w:t>
      </w:r>
      <w:r>
        <w:rPr>
          <w:spacing w:val="-6"/>
        </w:rPr>
        <w:t xml:space="preserve"> </w:t>
      </w:r>
      <w:r>
        <w:t>postoje.</w:t>
      </w:r>
    </w:p>
    <w:p w:rsidR="0002524F" w:rsidRDefault="0002524F" w:rsidP="0002524F">
      <w:pPr>
        <w:pStyle w:val="Zkladntext"/>
        <w:ind w:right="835"/>
        <w:jc w:val="both"/>
      </w:pPr>
      <w:r>
        <w:t>Při zkouškách může být pracováno s jedním figurantem. Při akcích přesahujících rámec kraje, jako jsou výběrové soutěže, mistrovství atd., musí být vždy použiti nejméně dva figuranti. Při všech akcích může být použit figurant bez ohledu na to, zda žije se psovodem ve společné domácnosti. Figurant může být rovněž účastníkem zkoušek jako psovod.</w:t>
      </w:r>
    </w:p>
    <w:p w:rsidR="0002524F" w:rsidRDefault="0002524F" w:rsidP="0002524F">
      <w:pPr>
        <w:jc w:val="both"/>
        <w:sectPr w:rsidR="0002524F">
          <w:pgSz w:w="11910" w:h="16840"/>
          <w:pgMar w:top="1580" w:right="300" w:bottom="1460" w:left="740" w:header="0" w:footer="1265" w:gutter="0"/>
          <w:cols w:space="708"/>
        </w:sectPr>
      </w:pPr>
    </w:p>
    <w:p w:rsidR="0002524F" w:rsidRDefault="0002524F" w:rsidP="0002524F">
      <w:pPr>
        <w:pStyle w:val="Zkladntext"/>
        <w:spacing w:before="7"/>
        <w:ind w:left="0"/>
        <w:rPr>
          <w:sz w:val="24"/>
        </w:rPr>
      </w:pPr>
    </w:p>
    <w:p w:rsidR="0002524F" w:rsidRDefault="0002524F" w:rsidP="0002524F">
      <w:pPr>
        <w:pStyle w:val="Odstavecseseznamem"/>
        <w:numPr>
          <w:ilvl w:val="0"/>
          <w:numId w:val="3"/>
        </w:numPr>
        <w:tabs>
          <w:tab w:val="left" w:pos="1978"/>
        </w:tabs>
        <w:spacing w:before="94"/>
        <w:jc w:val="both"/>
        <w:rPr>
          <w:b/>
        </w:rPr>
      </w:pPr>
      <w:r>
        <w:rPr>
          <w:b/>
        </w:rPr>
        <w:t>Základní pravidla práce figuranta při</w:t>
      </w:r>
      <w:r>
        <w:rPr>
          <w:b/>
          <w:spacing w:val="-7"/>
        </w:rPr>
        <w:t xml:space="preserve"> </w:t>
      </w:r>
      <w:r>
        <w:rPr>
          <w:b/>
        </w:rPr>
        <w:t>zkouškách</w:t>
      </w:r>
    </w:p>
    <w:p w:rsidR="0002524F" w:rsidRDefault="0002524F" w:rsidP="0002524F">
      <w:pPr>
        <w:pStyle w:val="Zkladntext"/>
        <w:spacing w:before="8"/>
        <w:ind w:left="0"/>
        <w:rPr>
          <w:b/>
          <w:sz w:val="23"/>
        </w:rPr>
      </w:pPr>
    </w:p>
    <w:p w:rsidR="0002524F" w:rsidRDefault="0002524F" w:rsidP="0002524F">
      <w:pPr>
        <w:pStyle w:val="Odstavecseseznamem"/>
        <w:numPr>
          <w:ilvl w:val="0"/>
          <w:numId w:val="2"/>
        </w:numPr>
        <w:tabs>
          <w:tab w:val="left" w:pos="1966"/>
        </w:tabs>
        <w:jc w:val="both"/>
        <w:rPr>
          <w:b/>
        </w:rPr>
      </w:pPr>
      <w:r>
        <w:rPr>
          <w:b/>
        </w:rPr>
        <w:t>Všeobecně:</w:t>
      </w:r>
    </w:p>
    <w:p w:rsidR="0002524F" w:rsidRDefault="0002524F" w:rsidP="0002524F">
      <w:pPr>
        <w:pStyle w:val="Zkladntext"/>
        <w:spacing w:before="5"/>
        <w:ind w:right="833"/>
        <w:jc w:val="both"/>
      </w:pPr>
      <w:r>
        <w:t>V rámci zkoušek má být rozhodčím posouzen stav vycvičenosti a dle možnosti i kvalita předváděného psa (např. vrozené dispozice, sebejistota, odolnost při zátěži a ovladatelnost). Rozhodčí v průběhu zkoušek může objektivně posoudit to, co sluchem nebo zrakem zjistí.</w:t>
      </w:r>
    </w:p>
    <w:p w:rsidR="0002524F" w:rsidRDefault="0002524F" w:rsidP="0002524F">
      <w:pPr>
        <w:pStyle w:val="Zkladntext"/>
        <w:ind w:left="0"/>
        <w:rPr>
          <w:sz w:val="24"/>
        </w:rPr>
      </w:pPr>
    </w:p>
    <w:p w:rsidR="0002524F" w:rsidRDefault="0002524F" w:rsidP="0002524F">
      <w:pPr>
        <w:pStyle w:val="Zkladntext"/>
        <w:spacing w:before="8"/>
        <w:ind w:left="0"/>
        <w:rPr>
          <w:sz w:val="21"/>
        </w:rPr>
      </w:pPr>
    </w:p>
    <w:p w:rsidR="0002524F" w:rsidRDefault="0002524F" w:rsidP="0002524F">
      <w:pPr>
        <w:pStyle w:val="Zkladntext"/>
        <w:spacing w:before="1" w:line="249" w:lineRule="auto"/>
        <w:ind w:right="831"/>
        <w:jc w:val="both"/>
      </w:pPr>
      <w:r>
        <w:t>Tento aspekt, především ale zachování sportovního charakteru zkoušek (tj. dle možností stejné podmínky pro všechny účastníky) vyžaduje, aby práce figuranta poskytla rozhodčímu široký, nesporný obraz. Nesmí být proto ponecháno na libovůli figuranta jak bude v oddílu "C" svou práci provádět. Figurant musí dodržovat řadu pravidel.</w:t>
      </w:r>
    </w:p>
    <w:p w:rsidR="0002524F" w:rsidRDefault="0002524F" w:rsidP="0002524F">
      <w:pPr>
        <w:pStyle w:val="Zkladntext"/>
        <w:ind w:right="830"/>
        <w:jc w:val="both"/>
      </w:pPr>
      <w:r>
        <w:t>Při zkouškách rozhodčí posuzuje v rámci jednotlivých výkonů nejdůležitější kritéria oddílu "C". Jsou to vrozené dispozice, sebejistota, odolnost při zátěži a ovladatelnost. Z tohoto důvodu je třeba rovněž hodnotit kvalitu zákusu předvedeného psa. Proto musí také pes, u kterého má být hodnocena kvalita zákusu, dostat možnost se dobře zakousnout, protože pokud má být hodnocena schopnost zatížení organizmu psa, je nezbytné, aby toto "zatížení" bylo vyvoláno odpovídajícím nasazením figuranta. Předpokladem možnosti dobrého posouzení ze strany rozhodčího, je vyvinutí mimořádné snahy figuranta, aby svou práci prováděl všem účastníkům</w:t>
      </w:r>
      <w:r>
        <w:rPr>
          <w:spacing w:val="-3"/>
        </w:rPr>
        <w:t xml:space="preserve"> </w:t>
      </w:r>
      <w:r>
        <w:t>stejně.</w:t>
      </w:r>
    </w:p>
    <w:p w:rsidR="0002524F" w:rsidRDefault="0002524F" w:rsidP="0002524F">
      <w:pPr>
        <w:pStyle w:val="Zkladntext"/>
        <w:spacing w:before="8"/>
        <w:ind w:left="0"/>
        <w:rPr>
          <w:sz w:val="23"/>
        </w:rPr>
      </w:pPr>
    </w:p>
    <w:p w:rsidR="0002524F" w:rsidRDefault="0002524F" w:rsidP="0002524F">
      <w:pPr>
        <w:pStyle w:val="Odstavecseseznamem"/>
        <w:numPr>
          <w:ilvl w:val="0"/>
          <w:numId w:val="2"/>
        </w:numPr>
        <w:tabs>
          <w:tab w:val="left" w:pos="1966"/>
        </w:tabs>
        <w:jc w:val="both"/>
        <w:rPr>
          <w:b/>
        </w:rPr>
      </w:pPr>
      <w:r>
        <w:rPr>
          <w:b/>
        </w:rPr>
        <w:t>“Vystavení a</w:t>
      </w:r>
      <w:r>
        <w:rPr>
          <w:b/>
          <w:spacing w:val="1"/>
        </w:rPr>
        <w:t xml:space="preserve"> </w:t>
      </w:r>
      <w:r>
        <w:rPr>
          <w:b/>
        </w:rPr>
        <w:t>vyštěkání”</w:t>
      </w:r>
    </w:p>
    <w:p w:rsidR="0002524F" w:rsidRDefault="0002524F" w:rsidP="0002524F">
      <w:pPr>
        <w:pStyle w:val="Zkladntext"/>
        <w:spacing w:before="4"/>
        <w:ind w:right="829"/>
        <w:jc w:val="both"/>
      </w:pPr>
      <w:r>
        <w:t>Figurant stojí v příslušné maketě, s lehce pokrčenou paží v ochranném rukávu tak, aby ho neviděl psovod ani pes. Nehýbá se, a ani nezaujímá pro psa dráždivý postoj. Ochranný rukáv mu slouží k ochraně těla. Při „vystavení a vyštěkání" figurant psa pozoruje, jakékoliv dráždivé, či pomocné pohyby jsou nepřípustné. Obušek drží bokem, směrem dolů.</w:t>
      </w:r>
    </w:p>
    <w:p w:rsidR="0002524F" w:rsidRDefault="0002524F" w:rsidP="0002524F">
      <w:pPr>
        <w:pStyle w:val="Zkladntext"/>
        <w:spacing w:before="1"/>
        <w:ind w:left="0"/>
        <w:rPr>
          <w:sz w:val="24"/>
        </w:rPr>
      </w:pPr>
    </w:p>
    <w:p w:rsidR="0002524F" w:rsidRDefault="0002524F" w:rsidP="0002524F">
      <w:pPr>
        <w:pStyle w:val="Odstavecseseznamem"/>
        <w:numPr>
          <w:ilvl w:val="0"/>
          <w:numId w:val="2"/>
        </w:numPr>
        <w:tabs>
          <w:tab w:val="left" w:pos="1966"/>
        </w:tabs>
        <w:spacing w:before="1"/>
        <w:jc w:val="both"/>
        <w:rPr>
          <w:b/>
        </w:rPr>
      </w:pPr>
      <w:r>
        <w:rPr>
          <w:b/>
        </w:rPr>
        <w:t>“Pokus o útěk</w:t>
      </w:r>
      <w:r>
        <w:rPr>
          <w:b/>
          <w:spacing w:val="-3"/>
        </w:rPr>
        <w:t xml:space="preserve"> </w:t>
      </w:r>
      <w:r>
        <w:rPr>
          <w:b/>
        </w:rPr>
        <w:t>figuranta”</w:t>
      </w:r>
    </w:p>
    <w:p w:rsidR="0002524F" w:rsidRDefault="0002524F" w:rsidP="0002524F">
      <w:pPr>
        <w:pStyle w:val="Zkladntext"/>
        <w:spacing w:before="4"/>
        <w:ind w:right="834"/>
        <w:jc w:val="both"/>
      </w:pPr>
      <w:r>
        <w:t>Po cviku "vystavení a vyštěkání", na výzvu psovoda vychází figurant normálním krokem z úkrytu a postaví se na místo určené rozhodčím (označená pozice pro útěk). Pozice figuranta musí umožnit psovodovi odložit psa ve vzdálenosti pěti kroků na určeném místě, bočně k figurantovi na straně ochranného rukávu. Pro psovoda musí být zřejmý směr útěku figuranta.</w:t>
      </w:r>
    </w:p>
    <w:p w:rsidR="0002524F" w:rsidRDefault="0002524F" w:rsidP="0002524F">
      <w:pPr>
        <w:pStyle w:val="Zkladntext"/>
        <w:ind w:right="826"/>
        <w:jc w:val="both"/>
      </w:pPr>
      <w:r>
        <w:t>Na pokyn rozhodčího se dá figurant okamžitě do rychlého běhu přímým směrem, aniž by utíkal přehnaně rychle či nekontrolovaně. Nepohybuje ani dodatečně rukávem, pes si musí sám najít optimální možnost zákusu. V žádném případě se figurant během útěku neobrací ke psu, smí ho však mít v zorném úhlu. Figurant musí psovi umožnit zákus, bez toho aniž by psu rukáv pohybem ruky nabízel nebo naopak schovával. Při zákusu psa běží dál přímým směrem a ochranný rukáv si za pohybu zafixuje těsně k tělu. Vzdálenost útěku je dána zkušebním řádem. Na pokyn rozhodčího se figurant zastaví. Jestliže figurant provede útěk odpovídající dynamikou, má rozhodčí optimální možnosti k posouzení. Jakékoli pomocné pohyby figuranta, jako např. přehnané nabízení ochranného rukávu před zákusem, výhrůžná zvolání či údery obuškem o kalhoty před nebo během útěku, povolování rukávu po zákusu, změna rychlosti útěku, ukončení útěku bez povelu, atd., jsou nepřípustné. Ukončení cviku - viz bod 9 (platí pro všechny</w:t>
      </w:r>
      <w:r>
        <w:rPr>
          <w:spacing w:val="-29"/>
        </w:rPr>
        <w:t xml:space="preserve"> </w:t>
      </w:r>
      <w:r>
        <w:t>cviky)</w:t>
      </w:r>
    </w:p>
    <w:p w:rsidR="0002524F" w:rsidRDefault="0002524F" w:rsidP="0002524F">
      <w:pPr>
        <w:pStyle w:val="Zkladntext"/>
        <w:spacing w:before="7"/>
        <w:ind w:left="0"/>
        <w:rPr>
          <w:sz w:val="23"/>
        </w:rPr>
      </w:pPr>
    </w:p>
    <w:p w:rsidR="0002524F" w:rsidRDefault="0002524F" w:rsidP="0002524F">
      <w:pPr>
        <w:pStyle w:val="Odstavecseseznamem"/>
        <w:numPr>
          <w:ilvl w:val="0"/>
          <w:numId w:val="2"/>
        </w:numPr>
        <w:tabs>
          <w:tab w:val="left" w:pos="1966"/>
        </w:tabs>
        <w:spacing w:before="1"/>
        <w:jc w:val="both"/>
        <w:rPr>
          <w:b/>
        </w:rPr>
      </w:pPr>
      <w:r>
        <w:rPr>
          <w:b/>
        </w:rPr>
        <w:t>“Obrana psa při</w:t>
      </w:r>
      <w:r>
        <w:rPr>
          <w:b/>
          <w:spacing w:val="-3"/>
        </w:rPr>
        <w:t xml:space="preserve"> </w:t>
      </w:r>
      <w:r>
        <w:rPr>
          <w:b/>
        </w:rPr>
        <w:t>hlídání”</w:t>
      </w:r>
    </w:p>
    <w:p w:rsidR="0002524F" w:rsidRDefault="0002524F" w:rsidP="0002524F">
      <w:pPr>
        <w:pStyle w:val="Zkladntext"/>
        <w:spacing w:before="6"/>
        <w:ind w:right="835"/>
        <w:jc w:val="both"/>
      </w:pPr>
      <w:r>
        <w:t>Při hlídání podnikne figurant na pokyn rozhodčího útok na psa. Při tom použije k výhrůžným pohybům nad ochranným rukávem obušek, aniž by uhodil psa. Ve stejném</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pStyle w:val="Zkladntext"/>
        <w:spacing w:before="101"/>
        <w:ind w:right="841"/>
        <w:jc w:val="both"/>
      </w:pPr>
      <w:r>
        <w:lastRenderedPageBreak/>
        <w:t>okamžiku, aniž by došlo k pohybu ochranným rukávem, na něj pes odpovídající silou čelně zaútočí. Ochranný rukáv je přitom držen vpředu těsně u</w:t>
      </w:r>
      <w:r>
        <w:rPr>
          <w:spacing w:val="-12"/>
        </w:rPr>
        <w:t xml:space="preserve"> </w:t>
      </w:r>
      <w:r>
        <w:t>těla.</w:t>
      </w:r>
    </w:p>
    <w:p w:rsidR="0002524F" w:rsidRDefault="0002524F" w:rsidP="0002524F">
      <w:pPr>
        <w:pStyle w:val="Zkladntext"/>
        <w:ind w:right="827"/>
        <w:jc w:val="both"/>
      </w:pPr>
      <w:r>
        <w:t>Jakmile se pes zakousne, je za pohybu přemístěn figurantem bočně a v přímém směru pak začíná zátěžová fáze. V počáteční fázi není dovoleno kroužení. Figurant musí všechny psy přesunout do stejného směru. Rozhodčí se z tohoto důvodu postaví tak, aby mohl u všech psů posoudit útok, zátěž, zákus, pouštění i hlídání. Tlačení psa směrem k psovodovi je nepřípustné. Rány obuškem jsou směrovány na oblast ramen či kohoutku psa. Síla těchto úderů musí být pro všechny psy stejná. První úder následuje po 4 - 5 krocích, druhý po dalších 4 - 5 krocích. Po druhém úderu následují další výhrůžné pohyby obuškem bez úderů.</w:t>
      </w:r>
    </w:p>
    <w:p w:rsidR="0002524F" w:rsidRDefault="0002524F" w:rsidP="0002524F">
      <w:pPr>
        <w:pStyle w:val="Zkladntext"/>
        <w:ind w:right="829"/>
        <w:jc w:val="both"/>
      </w:pPr>
      <w:r>
        <w:t>Dobu trvání zákusu určuje rozhodčí. Na jeho pokyn se figurant zastaví a přestane se psem bojovat. Jestliže je útok na psa proveden odpovídající dynamikou, má rozhodčí optimální podmínky k posuzování. Jakékoli pomocné pohyby figuranta, jako např. nabízení rukávu před zákusem, výhrůžná zvolání či údery obuškem o kalhoty před nebo během útoku, povolování rukávu po zákusu v průběhu testu odolnosti, různá intenzita boje se psem i úderů, samostatné ukončením boje při nedostatku odolnosti psa bez povelu, atd., jsou nepřípustné. Ukončení cviku - viz bod 9 (platí pro všechny</w:t>
      </w:r>
      <w:r>
        <w:rPr>
          <w:spacing w:val="-24"/>
        </w:rPr>
        <w:t xml:space="preserve"> </w:t>
      </w:r>
      <w:r>
        <w:t>cviky)</w:t>
      </w:r>
    </w:p>
    <w:p w:rsidR="0002524F" w:rsidRDefault="0002524F" w:rsidP="0002524F">
      <w:pPr>
        <w:pStyle w:val="Zkladntext"/>
        <w:spacing w:before="5"/>
        <w:ind w:left="0"/>
        <w:rPr>
          <w:sz w:val="23"/>
        </w:rPr>
      </w:pPr>
    </w:p>
    <w:p w:rsidR="0002524F" w:rsidRDefault="0002524F" w:rsidP="0002524F">
      <w:pPr>
        <w:ind w:left="1252"/>
        <w:jc w:val="both"/>
        <w:rPr>
          <w:b/>
        </w:rPr>
      </w:pPr>
      <w:r>
        <w:rPr>
          <w:b/>
        </w:rPr>
        <w:t>5.“Zadní doprovod (stupeň zkoušky 2 + 3)”</w:t>
      </w:r>
    </w:p>
    <w:p w:rsidR="0002524F" w:rsidRDefault="0002524F" w:rsidP="0002524F">
      <w:pPr>
        <w:pStyle w:val="Zkladntext"/>
        <w:spacing w:before="13"/>
        <w:ind w:right="833"/>
        <w:jc w:val="both"/>
      </w:pPr>
      <w:r>
        <w:t>Na příkaz psovoda provede figurant normální chůzí na vzdálenost asi 30 kroků zadní doprovod. Průběh doprovodu určuje rozhodčí. V průběhu doprovodu se musí figurant vyvarovat jakýchkoli prudkých pohybů. Obušek i ochranný rukáv musí držet tak, aby nevytvářely pro psa dráždivý podnět. Zejména obušek musí být nesen skrytě. Figurant se pohybuje u všech psů stejným tempem.</w:t>
      </w:r>
    </w:p>
    <w:p w:rsidR="0002524F" w:rsidRDefault="0002524F" w:rsidP="0002524F">
      <w:pPr>
        <w:pStyle w:val="Zkladntext"/>
        <w:spacing w:before="7"/>
        <w:ind w:left="0"/>
        <w:rPr>
          <w:sz w:val="23"/>
        </w:rPr>
      </w:pPr>
    </w:p>
    <w:p w:rsidR="0002524F" w:rsidRDefault="0002524F" w:rsidP="0002524F">
      <w:pPr>
        <w:ind w:left="1252"/>
        <w:jc w:val="both"/>
        <w:rPr>
          <w:b/>
        </w:rPr>
      </w:pPr>
      <w:r>
        <w:rPr>
          <w:b/>
        </w:rPr>
        <w:t>6.” Zadní doprovod (stupeň zkoušky 2)”</w:t>
      </w:r>
    </w:p>
    <w:p w:rsidR="0002524F" w:rsidRDefault="0002524F" w:rsidP="0002524F">
      <w:pPr>
        <w:pStyle w:val="Zkladntext"/>
        <w:spacing w:before="11" w:line="249" w:lineRule="auto"/>
        <w:ind w:right="831"/>
        <w:jc w:val="both"/>
      </w:pPr>
      <w:r>
        <w:t>Na příkaz psovoda provede figurant normální chůzí na vzdálenost asi 30 kroků zadní doprovod. Na pokyn rozhodčího se pak figurant zastaví. Psovod dále pokračuje se psem u nohy až k figurantovi. Vedle figuranta se zastaví, pes si sedne a zaujme základní postoj. Pes je po pravé straně figuranta, takže je mezi figurantem a psovodem. Psovod následně odebere figurantovi obušek. Po zaujetí základní pozice vedle figuranta a odebrání  obušku, vyzve psovod figuranta k pochodu a společně pokračují bočním doprovodem k rozhodčímu. Délka bočního doprovodu je cca 20 kroků. Před rozhodčím se tato skupinka zastaví, pes si sedne, psovod předá rozhodčímu obušek a ohlásí mu ukončení první části oddílu</w:t>
      </w:r>
      <w:r>
        <w:rPr>
          <w:spacing w:val="-1"/>
        </w:rPr>
        <w:t xml:space="preserve"> </w:t>
      </w:r>
      <w:r>
        <w:t>C.</w:t>
      </w:r>
    </w:p>
    <w:p w:rsidR="0002524F" w:rsidRDefault="0002524F" w:rsidP="0002524F">
      <w:pPr>
        <w:pStyle w:val="Zkladntext"/>
        <w:spacing w:before="1"/>
        <w:ind w:left="0"/>
        <w:rPr>
          <w:sz w:val="23"/>
        </w:rPr>
      </w:pPr>
    </w:p>
    <w:p w:rsidR="0002524F" w:rsidRDefault="0002524F" w:rsidP="0002524F">
      <w:pPr>
        <w:ind w:left="1252"/>
        <w:jc w:val="both"/>
        <w:rPr>
          <w:b/>
        </w:rPr>
      </w:pPr>
      <w:r>
        <w:rPr>
          <w:b/>
        </w:rPr>
        <w:t>7.“ Přepad psa při zadním doprovodu (stupeň zkoušky 3)”</w:t>
      </w:r>
    </w:p>
    <w:p w:rsidR="0002524F" w:rsidRDefault="0002524F" w:rsidP="0002524F">
      <w:pPr>
        <w:pStyle w:val="Zkladntext"/>
        <w:spacing w:before="11"/>
        <w:ind w:right="835"/>
        <w:jc w:val="both"/>
      </w:pPr>
      <w:r>
        <w:t>Na pokyn rozhodčího následuje za pohybu přepad psa figurantem. Je proveden rychlým otočením na levou nebo pravou stranu a útokem proti psu. Figurant provádí výhružné pohyby obuškem drženým nad ochranným rukávem. Psa musí zachytit pružným držením rukávu, aniž by se při tom zastavil. Při zákusu psa musí provést zcela nezbytně obrat tělem, aby zachytil sílu útoku psa. Musí se při tom vyvarovat jakýchkoli nadbytečných pohybů ochranným rukávem. Jakmile se pes zakousne, je figurantem v pohybu přesunut bočně a v přímém směru pak začíná fáze odolnosti psa. Figurant musí všechny psy přesunout do stejného směru. Rozhodčí se z tohoto důvodu postaví tak, aby mohl u  všech psů posoudit útok, odolnost, zákus, pouštění i hlídání. Tlačení psa směrem k psovodovi je</w:t>
      </w:r>
      <w:r>
        <w:rPr>
          <w:spacing w:val="-2"/>
        </w:rPr>
        <w:t xml:space="preserve"> </w:t>
      </w:r>
      <w:r>
        <w:t>nepřípustné.</w:t>
      </w:r>
    </w:p>
    <w:p w:rsidR="0002524F" w:rsidRDefault="0002524F" w:rsidP="0002524F">
      <w:pPr>
        <w:pStyle w:val="Zkladntext"/>
        <w:ind w:right="834"/>
        <w:jc w:val="both"/>
      </w:pPr>
      <w:r>
        <w:t>Dobu trvání zákusu určuje rozhodčí. Na jeho pokyn se figurant zastaví a přestane se psem bojovat. Jestliže je útok na psa proveden odpovídající dynamikou, má rozhodčí optimální podmínky k posuzování. Jakékoli pomocné pohyby figuranta jako např. přehnané úhybné pohyby rukávem před zákusem nebo nabízení rukávu před zákusem, výhružná</w:t>
      </w:r>
      <w:r>
        <w:rPr>
          <w:spacing w:val="9"/>
        </w:rPr>
        <w:t xml:space="preserve"> </w:t>
      </w:r>
      <w:r>
        <w:t>zvolání</w:t>
      </w:r>
      <w:r>
        <w:rPr>
          <w:spacing w:val="7"/>
        </w:rPr>
        <w:t xml:space="preserve"> </w:t>
      </w:r>
      <w:r>
        <w:t>či</w:t>
      </w:r>
      <w:r>
        <w:rPr>
          <w:spacing w:val="8"/>
        </w:rPr>
        <w:t xml:space="preserve"> </w:t>
      </w:r>
      <w:r>
        <w:t>údery</w:t>
      </w:r>
      <w:r>
        <w:rPr>
          <w:spacing w:val="9"/>
        </w:rPr>
        <w:t xml:space="preserve"> </w:t>
      </w:r>
      <w:r>
        <w:t>obuškem</w:t>
      </w:r>
      <w:r>
        <w:rPr>
          <w:spacing w:val="10"/>
        </w:rPr>
        <w:t xml:space="preserve"> </w:t>
      </w:r>
      <w:r>
        <w:t>o</w:t>
      </w:r>
      <w:r>
        <w:rPr>
          <w:spacing w:val="5"/>
        </w:rPr>
        <w:t xml:space="preserve"> </w:t>
      </w:r>
      <w:r>
        <w:t>kalhoty</w:t>
      </w:r>
      <w:r>
        <w:rPr>
          <w:spacing w:val="7"/>
        </w:rPr>
        <w:t xml:space="preserve"> </w:t>
      </w:r>
      <w:r>
        <w:t>před</w:t>
      </w:r>
      <w:r>
        <w:rPr>
          <w:spacing w:val="10"/>
        </w:rPr>
        <w:t xml:space="preserve"> </w:t>
      </w:r>
      <w:r>
        <w:t>nebo</w:t>
      </w:r>
      <w:r>
        <w:rPr>
          <w:spacing w:val="9"/>
        </w:rPr>
        <w:t xml:space="preserve"> </w:t>
      </w:r>
      <w:r>
        <w:t>v</w:t>
      </w:r>
      <w:r>
        <w:rPr>
          <w:spacing w:val="8"/>
        </w:rPr>
        <w:t xml:space="preserve"> </w:t>
      </w:r>
      <w:r>
        <w:t>průběhu</w:t>
      </w:r>
      <w:r>
        <w:rPr>
          <w:spacing w:val="7"/>
        </w:rPr>
        <w:t xml:space="preserve"> </w:t>
      </w:r>
      <w:r>
        <w:t>útoku,</w:t>
      </w:r>
      <w:r>
        <w:rPr>
          <w:spacing w:val="9"/>
        </w:rPr>
        <w:t xml:space="preserve"> </w:t>
      </w:r>
      <w:r>
        <w:t>různá</w:t>
      </w:r>
      <w:r>
        <w:rPr>
          <w:spacing w:val="9"/>
        </w:rPr>
        <w:t xml:space="preserve"> </w:t>
      </w:r>
      <w:r>
        <w:t>intenzita</w:t>
      </w:r>
    </w:p>
    <w:p w:rsidR="0002524F" w:rsidRDefault="0002524F" w:rsidP="0002524F">
      <w:pPr>
        <w:jc w:val="both"/>
        <w:sectPr w:rsidR="0002524F">
          <w:pgSz w:w="11910" w:h="16840"/>
          <w:pgMar w:top="1580" w:right="300" w:bottom="1520" w:left="740" w:header="0" w:footer="1265" w:gutter="0"/>
          <w:cols w:space="708"/>
        </w:sectPr>
      </w:pPr>
    </w:p>
    <w:p w:rsidR="0002524F" w:rsidRDefault="0002524F" w:rsidP="0002524F">
      <w:pPr>
        <w:pStyle w:val="Zkladntext"/>
        <w:spacing w:before="101"/>
        <w:ind w:right="834"/>
        <w:jc w:val="both"/>
      </w:pPr>
      <w:r>
        <w:lastRenderedPageBreak/>
        <w:t>útoku během zátěžové fáze, samostatné ukončení boje při nedostatečné schopnosti zátěže psa, atd., jsou nepřípustné. Ukončení cviku - viz bod 9 (platí pro všechny cviky)</w:t>
      </w:r>
    </w:p>
    <w:p w:rsidR="0002524F" w:rsidRDefault="0002524F" w:rsidP="0002524F">
      <w:pPr>
        <w:pStyle w:val="Zkladntext"/>
        <w:spacing w:before="5"/>
        <w:ind w:left="0"/>
        <w:rPr>
          <w:sz w:val="23"/>
        </w:rPr>
      </w:pPr>
    </w:p>
    <w:p w:rsidR="0002524F" w:rsidRDefault="0002524F" w:rsidP="0002524F">
      <w:pPr>
        <w:ind w:left="1252"/>
        <w:jc w:val="both"/>
        <w:rPr>
          <w:b/>
        </w:rPr>
      </w:pPr>
      <w:r>
        <w:rPr>
          <w:b/>
        </w:rPr>
        <w:t>8.“Útok na psa z pohybu”</w:t>
      </w:r>
    </w:p>
    <w:p w:rsidR="0002524F" w:rsidRDefault="0002524F" w:rsidP="0002524F">
      <w:pPr>
        <w:spacing w:before="11"/>
        <w:ind w:left="1252"/>
        <w:jc w:val="both"/>
        <w:rPr>
          <w:b/>
        </w:rPr>
      </w:pPr>
      <w:r>
        <w:rPr>
          <w:b/>
        </w:rPr>
        <w:t>IGP-1: 30 metrů, IGP-2: 40 metrů, IGP-3: 50 metrů</w:t>
      </w:r>
    </w:p>
    <w:p w:rsidR="0002524F" w:rsidRDefault="0002524F" w:rsidP="0002524F">
      <w:pPr>
        <w:pStyle w:val="Zkladntext"/>
        <w:spacing w:before="11" w:line="259" w:lineRule="auto"/>
        <w:ind w:left="1257" w:right="831" w:firstLine="59"/>
        <w:jc w:val="both"/>
      </w:pPr>
      <w:r>
        <w:t>Na pokyn rozhodčího odchází psovod se psem u nohy na úroveň prvního úkrytu a zaujímá zde základní postoj čelem k figurantovi. U zkoušky IGP-1 a IGP-2, vybíhá figurant na středovou osu z místa, kde byla ukončena první část obrany. U zkoušky IGP-3, vybíhá figurant na středovou osu z úkrytu číslo 6. Na pokyn rozhodčího přeběhne figurant cvičebním prostorem až ke středové ose. Zde, aniž by běh přerušil, zaútočí čelně na psovoda a psa křikem a výhružnými pohyby obuškem. Ve všech stupních zkoušek figurant běží proti psu a útočí na něj křikem s výhrůžnými pohyby. První výkřik figurant vydá v momentu, kdy se při běhu otočí čelně proti psovi. Poslední výkřik a výhružný pohyb provede, když se pes připravuje zaútočit na figuranta. Figurant musí psa zachytit pružným držením ochranného rukávu, aniž by se při tom zastavil. Při zákusu psa musí provést zcela nezbytně obrat tělem tak, aby zachytil sílu útoku</w:t>
      </w:r>
      <w:r>
        <w:rPr>
          <w:spacing w:val="-11"/>
        </w:rPr>
        <w:t xml:space="preserve"> </w:t>
      </w:r>
      <w:r>
        <w:t>psa.</w:t>
      </w:r>
    </w:p>
    <w:p w:rsidR="0002524F" w:rsidRDefault="0002524F" w:rsidP="0002524F">
      <w:pPr>
        <w:pStyle w:val="Zkladntext"/>
        <w:spacing w:line="259" w:lineRule="auto"/>
        <w:ind w:left="1257" w:right="831"/>
        <w:jc w:val="both"/>
      </w:pPr>
      <w:r>
        <w:t>V žádném případě nesmí psa oběhnout. Jakmile se pes zakousne, je figurantem přesunut bočně a v přímém směru, pak začíná zátěžová fáze. V žádném případě nesmí dojít k přetočení psa. Všechny psy musí figurant přesunout do stejného směru. Rozhodčí se musí postavit tak, aby mohl u všech psů posoudit útok, odolnost, zákus, pouštění i  hlídání. Tlačení psa směrem k psovodovi je</w:t>
      </w:r>
      <w:r>
        <w:rPr>
          <w:spacing w:val="-6"/>
        </w:rPr>
        <w:t xml:space="preserve"> </w:t>
      </w:r>
      <w:r>
        <w:t>nepřípustné.</w:t>
      </w:r>
    </w:p>
    <w:p w:rsidR="0002524F" w:rsidRDefault="0002524F" w:rsidP="0002524F">
      <w:pPr>
        <w:pStyle w:val="Zkladntext"/>
        <w:ind w:right="828"/>
        <w:jc w:val="both"/>
      </w:pPr>
      <w:r>
        <w:t>Dobu trvání zákusu určuje rozhodčí. Na jeho pokyn se figurant zastaví a přestane se psem bojovat. Jestliže je útok na psa proveden odpovídající dynamikou, má rozhodčí optimální podmínky k posuzování. Jakékoli pomocné pohyby figuranta, jako změna tempa útoku, převzetí psa na ochranný rukáv v zastavení, úhybné pohyby před zákusem, oběhnutí psa, nabídnutí rukávu před zákusem, povolování rukávu po zákusu, různá intenzita bojovnosti, ukončení boje při nedostatku bojovnosti psa bez povelu, atd., jsou nepřípustné. Ukončení cviku - viz bod 9 (platí pro všechny</w:t>
      </w:r>
      <w:r>
        <w:rPr>
          <w:spacing w:val="-11"/>
        </w:rPr>
        <w:t xml:space="preserve"> </w:t>
      </w:r>
      <w:r>
        <w:t>cviky)</w:t>
      </w:r>
    </w:p>
    <w:p w:rsidR="0002524F" w:rsidRDefault="0002524F" w:rsidP="0002524F">
      <w:pPr>
        <w:pStyle w:val="Zkladntext"/>
        <w:spacing w:before="4"/>
        <w:ind w:left="0"/>
        <w:rPr>
          <w:sz w:val="23"/>
        </w:rPr>
      </w:pPr>
    </w:p>
    <w:p w:rsidR="0002524F" w:rsidRDefault="0002524F" w:rsidP="0002524F">
      <w:pPr>
        <w:ind w:left="1252"/>
        <w:jc w:val="both"/>
        <w:rPr>
          <w:b/>
        </w:rPr>
      </w:pPr>
      <w:r>
        <w:rPr>
          <w:b/>
        </w:rPr>
        <w:t>9.“Ukončení cviků obrany”</w:t>
      </w:r>
    </w:p>
    <w:p w:rsidR="0002524F" w:rsidRDefault="0002524F" w:rsidP="0002524F">
      <w:pPr>
        <w:pStyle w:val="Zkladntext"/>
        <w:spacing w:before="14"/>
        <w:ind w:right="829"/>
        <w:jc w:val="both"/>
      </w:pPr>
      <w:r>
        <w:t>Ukončení všech cviků obrany je nutno provádět tak, aby mohl rozhodčí pozorovat způsob zákusu, pouštění i hlídání (figurant se nesmí stavět zády k rozhodčímu a musí s ním udržovat oční kontakt). Po ukončení cviku se figurant přestane pohybovat, aniž by zřetelně uvolnil ochranný rukáv. Ten není nesen směrem vzhůru, ale zůstává držen ve stejné pozici, jako v předchozím cviku. Obušek je držen směrem dolů, bočně podél těla, aby nebyl pro psa viditelný. Za účelem pouštění nesmí být figurantem prováděny žádné pomocné postoje. Po puštění udržuje figurant se psem zrakový kontakt, jakékoli dráždivé či pomocné postoje různých druhů jsou nepřípustné. Pro udržení zrakového kontaktu při hlídání se může za kroužícím psem figurant pomalu, netrhavými pohyby</w:t>
      </w:r>
      <w:r>
        <w:rPr>
          <w:spacing w:val="-18"/>
        </w:rPr>
        <w:t xml:space="preserve"> </w:t>
      </w:r>
      <w:r>
        <w:t>otáčet.</w:t>
      </w:r>
    </w:p>
    <w:p w:rsidR="0002524F" w:rsidRDefault="0002524F" w:rsidP="0002524F">
      <w:pPr>
        <w:pStyle w:val="Zkladntext"/>
        <w:spacing w:before="5"/>
        <w:ind w:left="0"/>
        <w:rPr>
          <w:sz w:val="23"/>
        </w:rPr>
      </w:pPr>
    </w:p>
    <w:p w:rsidR="0002524F" w:rsidRDefault="0002524F" w:rsidP="0002524F">
      <w:pPr>
        <w:ind w:left="1252"/>
        <w:jc w:val="both"/>
        <w:rPr>
          <w:b/>
        </w:rPr>
      </w:pPr>
      <w:r>
        <w:rPr>
          <w:b/>
        </w:rPr>
        <w:t>10.“Nejistota a selhání psa”</w:t>
      </w:r>
    </w:p>
    <w:p w:rsidR="0002524F" w:rsidRDefault="0002524F" w:rsidP="0002524F">
      <w:pPr>
        <w:pStyle w:val="Zkladntext"/>
        <w:spacing w:before="13"/>
        <w:ind w:right="835"/>
        <w:jc w:val="both"/>
      </w:pPr>
      <w:r>
        <w:t>Na psa, který se při cvicích obrany nezakousne nebo zákus uvolní a pustí, figurant útočí do té doby, dokud rozhodčí cvik neukončí. V této situaci nesmí figurant v žádném případě poskytovat psu pomoc nebo sám cvik ukončit. Psi, kteří nechtějí pouštět, nesmí být držením obušku v příslušné pozici nebo jeho pohybováním, figurantem k pouštění nuceni. Psi, kteří při hlídání mají snahu figuranta opustit, nesmí být jím lákáni dráždivými pohyby k setrvání. Při všech cvicích a jejich částech se musí vždy figurant chovat aktivně nebo neutrálně dle požadavků zkušebního řádu. Pokud při hlídání pes do figuranta naráží nebo jej kouše, je nutno se zdržet jakýchkoliv obranných pohybů.</w:t>
      </w:r>
    </w:p>
    <w:p w:rsidR="0002524F" w:rsidRDefault="0002524F" w:rsidP="0002524F">
      <w:pPr>
        <w:jc w:val="both"/>
        <w:sectPr w:rsidR="0002524F">
          <w:pgSz w:w="11910" w:h="16840"/>
          <w:pgMar w:top="1580" w:right="300" w:bottom="1520" w:left="740" w:header="0" w:footer="1265" w:gutter="0"/>
          <w:cols w:space="708"/>
        </w:sectPr>
      </w:pPr>
    </w:p>
    <w:p w:rsidR="00E12908" w:rsidRDefault="00E12908"/>
    <w:sectPr w:rsid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059555E8"/>
    <w:multiLevelType w:val="hybridMultilevel"/>
    <w:tmpl w:val="D91A5164"/>
    <w:lvl w:ilvl="0" w:tplc="E5CC4364">
      <w:numFmt w:val="bullet"/>
      <w:lvlText w:val=""/>
      <w:lvlJc w:val="left"/>
      <w:pPr>
        <w:ind w:left="1972" w:hanging="360"/>
      </w:pPr>
      <w:rPr>
        <w:rFonts w:ascii="Symbol" w:eastAsia="Symbol" w:hAnsi="Symbol" w:cs="Symbol" w:hint="default"/>
        <w:w w:val="100"/>
        <w:sz w:val="22"/>
        <w:szCs w:val="22"/>
        <w:lang w:val="cs-CZ" w:eastAsia="cs-CZ" w:bidi="cs-CZ"/>
      </w:rPr>
    </w:lvl>
    <w:lvl w:ilvl="1" w:tplc="A8728A60">
      <w:numFmt w:val="bullet"/>
      <w:lvlText w:val="•"/>
      <w:lvlJc w:val="left"/>
      <w:pPr>
        <w:ind w:left="2868" w:hanging="360"/>
      </w:pPr>
      <w:rPr>
        <w:rFonts w:hint="default"/>
        <w:lang w:val="cs-CZ" w:eastAsia="cs-CZ" w:bidi="cs-CZ"/>
      </w:rPr>
    </w:lvl>
    <w:lvl w:ilvl="2" w:tplc="154C4F30">
      <w:numFmt w:val="bullet"/>
      <w:lvlText w:val="•"/>
      <w:lvlJc w:val="left"/>
      <w:pPr>
        <w:ind w:left="3757" w:hanging="360"/>
      </w:pPr>
      <w:rPr>
        <w:rFonts w:hint="default"/>
        <w:lang w:val="cs-CZ" w:eastAsia="cs-CZ" w:bidi="cs-CZ"/>
      </w:rPr>
    </w:lvl>
    <w:lvl w:ilvl="3" w:tplc="4DF658FA">
      <w:numFmt w:val="bullet"/>
      <w:lvlText w:val="•"/>
      <w:lvlJc w:val="left"/>
      <w:pPr>
        <w:ind w:left="4645" w:hanging="360"/>
      </w:pPr>
      <w:rPr>
        <w:rFonts w:hint="default"/>
        <w:lang w:val="cs-CZ" w:eastAsia="cs-CZ" w:bidi="cs-CZ"/>
      </w:rPr>
    </w:lvl>
    <w:lvl w:ilvl="4" w:tplc="E93C4E30">
      <w:numFmt w:val="bullet"/>
      <w:lvlText w:val="•"/>
      <w:lvlJc w:val="left"/>
      <w:pPr>
        <w:ind w:left="5534" w:hanging="360"/>
      </w:pPr>
      <w:rPr>
        <w:rFonts w:hint="default"/>
        <w:lang w:val="cs-CZ" w:eastAsia="cs-CZ" w:bidi="cs-CZ"/>
      </w:rPr>
    </w:lvl>
    <w:lvl w:ilvl="5" w:tplc="1390BF9A">
      <w:numFmt w:val="bullet"/>
      <w:lvlText w:val="•"/>
      <w:lvlJc w:val="left"/>
      <w:pPr>
        <w:ind w:left="6423" w:hanging="360"/>
      </w:pPr>
      <w:rPr>
        <w:rFonts w:hint="default"/>
        <w:lang w:val="cs-CZ" w:eastAsia="cs-CZ" w:bidi="cs-CZ"/>
      </w:rPr>
    </w:lvl>
    <w:lvl w:ilvl="6" w:tplc="15524612">
      <w:numFmt w:val="bullet"/>
      <w:lvlText w:val="•"/>
      <w:lvlJc w:val="left"/>
      <w:pPr>
        <w:ind w:left="7311" w:hanging="360"/>
      </w:pPr>
      <w:rPr>
        <w:rFonts w:hint="default"/>
        <w:lang w:val="cs-CZ" w:eastAsia="cs-CZ" w:bidi="cs-CZ"/>
      </w:rPr>
    </w:lvl>
    <w:lvl w:ilvl="7" w:tplc="89CE193E">
      <w:numFmt w:val="bullet"/>
      <w:lvlText w:val="•"/>
      <w:lvlJc w:val="left"/>
      <w:pPr>
        <w:ind w:left="8200" w:hanging="360"/>
      </w:pPr>
      <w:rPr>
        <w:rFonts w:hint="default"/>
        <w:lang w:val="cs-CZ" w:eastAsia="cs-CZ" w:bidi="cs-CZ"/>
      </w:rPr>
    </w:lvl>
    <w:lvl w:ilvl="8" w:tplc="A0C8880C">
      <w:numFmt w:val="bullet"/>
      <w:lvlText w:val="•"/>
      <w:lvlJc w:val="left"/>
      <w:pPr>
        <w:ind w:left="9089" w:hanging="360"/>
      </w:pPr>
      <w:rPr>
        <w:rFonts w:hint="default"/>
        <w:lang w:val="cs-CZ" w:eastAsia="cs-CZ" w:bidi="cs-CZ"/>
      </w:rPr>
    </w:lvl>
  </w:abstractNum>
  <w:abstractNum w:abstractNumId="2" w15:restartNumberingAfterBreak="0">
    <w:nsid w:val="177A4C08"/>
    <w:multiLevelType w:val="hybridMultilevel"/>
    <w:tmpl w:val="0FF2FCE0"/>
    <w:lvl w:ilvl="0" w:tplc="A68E3CB8">
      <w:numFmt w:val="bullet"/>
      <w:lvlText w:val=""/>
      <w:lvlJc w:val="left"/>
      <w:pPr>
        <w:ind w:left="1972" w:hanging="360"/>
      </w:pPr>
      <w:rPr>
        <w:rFonts w:ascii="Symbol" w:eastAsia="Symbol" w:hAnsi="Symbol" w:cs="Symbol" w:hint="default"/>
        <w:w w:val="100"/>
        <w:sz w:val="22"/>
        <w:szCs w:val="22"/>
        <w:lang w:val="cs-CZ" w:eastAsia="cs-CZ" w:bidi="cs-CZ"/>
      </w:rPr>
    </w:lvl>
    <w:lvl w:ilvl="1" w:tplc="DEB435A4">
      <w:numFmt w:val="bullet"/>
      <w:lvlText w:val="•"/>
      <w:lvlJc w:val="left"/>
      <w:pPr>
        <w:ind w:left="2868" w:hanging="360"/>
      </w:pPr>
      <w:rPr>
        <w:rFonts w:hint="default"/>
        <w:lang w:val="cs-CZ" w:eastAsia="cs-CZ" w:bidi="cs-CZ"/>
      </w:rPr>
    </w:lvl>
    <w:lvl w:ilvl="2" w:tplc="53CC33CA">
      <w:numFmt w:val="bullet"/>
      <w:lvlText w:val="•"/>
      <w:lvlJc w:val="left"/>
      <w:pPr>
        <w:ind w:left="3757" w:hanging="360"/>
      </w:pPr>
      <w:rPr>
        <w:rFonts w:hint="default"/>
        <w:lang w:val="cs-CZ" w:eastAsia="cs-CZ" w:bidi="cs-CZ"/>
      </w:rPr>
    </w:lvl>
    <w:lvl w:ilvl="3" w:tplc="3A7CFEFC">
      <w:numFmt w:val="bullet"/>
      <w:lvlText w:val="•"/>
      <w:lvlJc w:val="left"/>
      <w:pPr>
        <w:ind w:left="4645" w:hanging="360"/>
      </w:pPr>
      <w:rPr>
        <w:rFonts w:hint="default"/>
        <w:lang w:val="cs-CZ" w:eastAsia="cs-CZ" w:bidi="cs-CZ"/>
      </w:rPr>
    </w:lvl>
    <w:lvl w:ilvl="4" w:tplc="D2B8910A">
      <w:numFmt w:val="bullet"/>
      <w:lvlText w:val="•"/>
      <w:lvlJc w:val="left"/>
      <w:pPr>
        <w:ind w:left="5534" w:hanging="360"/>
      </w:pPr>
      <w:rPr>
        <w:rFonts w:hint="default"/>
        <w:lang w:val="cs-CZ" w:eastAsia="cs-CZ" w:bidi="cs-CZ"/>
      </w:rPr>
    </w:lvl>
    <w:lvl w:ilvl="5" w:tplc="95BA8EFE">
      <w:numFmt w:val="bullet"/>
      <w:lvlText w:val="•"/>
      <w:lvlJc w:val="left"/>
      <w:pPr>
        <w:ind w:left="6423" w:hanging="360"/>
      </w:pPr>
      <w:rPr>
        <w:rFonts w:hint="default"/>
        <w:lang w:val="cs-CZ" w:eastAsia="cs-CZ" w:bidi="cs-CZ"/>
      </w:rPr>
    </w:lvl>
    <w:lvl w:ilvl="6" w:tplc="23B07D7C">
      <w:numFmt w:val="bullet"/>
      <w:lvlText w:val="•"/>
      <w:lvlJc w:val="left"/>
      <w:pPr>
        <w:ind w:left="7311" w:hanging="360"/>
      </w:pPr>
      <w:rPr>
        <w:rFonts w:hint="default"/>
        <w:lang w:val="cs-CZ" w:eastAsia="cs-CZ" w:bidi="cs-CZ"/>
      </w:rPr>
    </w:lvl>
    <w:lvl w:ilvl="7" w:tplc="95045344">
      <w:numFmt w:val="bullet"/>
      <w:lvlText w:val="•"/>
      <w:lvlJc w:val="left"/>
      <w:pPr>
        <w:ind w:left="8200" w:hanging="360"/>
      </w:pPr>
      <w:rPr>
        <w:rFonts w:hint="default"/>
        <w:lang w:val="cs-CZ" w:eastAsia="cs-CZ" w:bidi="cs-CZ"/>
      </w:rPr>
    </w:lvl>
    <w:lvl w:ilvl="8" w:tplc="E620E9E0">
      <w:numFmt w:val="bullet"/>
      <w:lvlText w:val="•"/>
      <w:lvlJc w:val="left"/>
      <w:pPr>
        <w:ind w:left="9089" w:hanging="360"/>
      </w:pPr>
      <w:rPr>
        <w:rFonts w:hint="default"/>
        <w:lang w:val="cs-CZ" w:eastAsia="cs-CZ" w:bidi="cs-CZ"/>
      </w:rPr>
    </w:lvl>
  </w:abstractNum>
  <w:abstractNum w:abstractNumId="3" w15:restartNumberingAfterBreak="0">
    <w:nsid w:val="286C7E95"/>
    <w:multiLevelType w:val="hybridMultilevel"/>
    <w:tmpl w:val="CAB410BC"/>
    <w:lvl w:ilvl="0" w:tplc="51385E6C">
      <w:start w:val="1"/>
      <w:numFmt w:val="decimal"/>
      <w:lvlText w:val="%1."/>
      <w:lvlJc w:val="left"/>
      <w:pPr>
        <w:ind w:left="1965" w:hanging="720"/>
        <w:jc w:val="left"/>
      </w:pPr>
      <w:rPr>
        <w:rFonts w:ascii="Trebuchet MS" w:eastAsia="Trebuchet MS" w:hAnsi="Trebuchet MS" w:cs="Trebuchet MS" w:hint="default"/>
        <w:b/>
        <w:bCs/>
        <w:w w:val="81"/>
        <w:sz w:val="24"/>
        <w:szCs w:val="24"/>
        <w:lang w:val="cs-CZ" w:eastAsia="cs-CZ" w:bidi="cs-CZ"/>
      </w:rPr>
    </w:lvl>
    <w:lvl w:ilvl="1" w:tplc="C3505E60">
      <w:numFmt w:val="bullet"/>
      <w:lvlText w:val="•"/>
      <w:lvlJc w:val="left"/>
      <w:pPr>
        <w:ind w:left="2850" w:hanging="720"/>
      </w:pPr>
      <w:rPr>
        <w:rFonts w:hint="default"/>
        <w:lang w:val="cs-CZ" w:eastAsia="cs-CZ" w:bidi="cs-CZ"/>
      </w:rPr>
    </w:lvl>
    <w:lvl w:ilvl="2" w:tplc="FF2E3D8A">
      <w:numFmt w:val="bullet"/>
      <w:lvlText w:val="•"/>
      <w:lvlJc w:val="left"/>
      <w:pPr>
        <w:ind w:left="3741" w:hanging="720"/>
      </w:pPr>
      <w:rPr>
        <w:rFonts w:hint="default"/>
        <w:lang w:val="cs-CZ" w:eastAsia="cs-CZ" w:bidi="cs-CZ"/>
      </w:rPr>
    </w:lvl>
    <w:lvl w:ilvl="3" w:tplc="644E8F5C">
      <w:numFmt w:val="bullet"/>
      <w:lvlText w:val="•"/>
      <w:lvlJc w:val="left"/>
      <w:pPr>
        <w:ind w:left="4631" w:hanging="720"/>
      </w:pPr>
      <w:rPr>
        <w:rFonts w:hint="default"/>
        <w:lang w:val="cs-CZ" w:eastAsia="cs-CZ" w:bidi="cs-CZ"/>
      </w:rPr>
    </w:lvl>
    <w:lvl w:ilvl="4" w:tplc="2AE28822">
      <w:numFmt w:val="bullet"/>
      <w:lvlText w:val="•"/>
      <w:lvlJc w:val="left"/>
      <w:pPr>
        <w:ind w:left="5522" w:hanging="720"/>
      </w:pPr>
      <w:rPr>
        <w:rFonts w:hint="default"/>
        <w:lang w:val="cs-CZ" w:eastAsia="cs-CZ" w:bidi="cs-CZ"/>
      </w:rPr>
    </w:lvl>
    <w:lvl w:ilvl="5" w:tplc="0F6610EA">
      <w:numFmt w:val="bullet"/>
      <w:lvlText w:val="•"/>
      <w:lvlJc w:val="left"/>
      <w:pPr>
        <w:ind w:left="6413" w:hanging="720"/>
      </w:pPr>
      <w:rPr>
        <w:rFonts w:hint="default"/>
        <w:lang w:val="cs-CZ" w:eastAsia="cs-CZ" w:bidi="cs-CZ"/>
      </w:rPr>
    </w:lvl>
    <w:lvl w:ilvl="6" w:tplc="278C78B0">
      <w:numFmt w:val="bullet"/>
      <w:lvlText w:val="•"/>
      <w:lvlJc w:val="left"/>
      <w:pPr>
        <w:ind w:left="7303" w:hanging="720"/>
      </w:pPr>
      <w:rPr>
        <w:rFonts w:hint="default"/>
        <w:lang w:val="cs-CZ" w:eastAsia="cs-CZ" w:bidi="cs-CZ"/>
      </w:rPr>
    </w:lvl>
    <w:lvl w:ilvl="7" w:tplc="78A48DC6">
      <w:numFmt w:val="bullet"/>
      <w:lvlText w:val="•"/>
      <w:lvlJc w:val="left"/>
      <w:pPr>
        <w:ind w:left="8194" w:hanging="720"/>
      </w:pPr>
      <w:rPr>
        <w:rFonts w:hint="default"/>
        <w:lang w:val="cs-CZ" w:eastAsia="cs-CZ" w:bidi="cs-CZ"/>
      </w:rPr>
    </w:lvl>
    <w:lvl w:ilvl="8" w:tplc="81F4D5FC">
      <w:numFmt w:val="bullet"/>
      <w:lvlText w:val="•"/>
      <w:lvlJc w:val="left"/>
      <w:pPr>
        <w:ind w:left="9085" w:hanging="720"/>
      </w:pPr>
      <w:rPr>
        <w:rFonts w:hint="default"/>
        <w:lang w:val="cs-CZ" w:eastAsia="cs-CZ" w:bidi="cs-CZ"/>
      </w:rPr>
    </w:lvl>
  </w:abstractNum>
  <w:abstractNum w:abstractNumId="4" w15:restartNumberingAfterBreak="0">
    <w:nsid w:val="55F024D2"/>
    <w:multiLevelType w:val="hybridMultilevel"/>
    <w:tmpl w:val="7E7E328C"/>
    <w:lvl w:ilvl="0" w:tplc="771857E4">
      <w:numFmt w:val="bullet"/>
      <w:lvlText w:val="•"/>
      <w:lvlJc w:val="left"/>
      <w:pPr>
        <w:ind w:left="1406" w:hanging="396"/>
      </w:pPr>
      <w:rPr>
        <w:rFonts w:ascii="Arial" w:eastAsia="Arial" w:hAnsi="Arial" w:cs="Arial" w:hint="default"/>
        <w:w w:val="142"/>
        <w:sz w:val="22"/>
        <w:szCs w:val="22"/>
        <w:lang w:val="cs-CZ" w:eastAsia="cs-CZ" w:bidi="cs-CZ"/>
      </w:rPr>
    </w:lvl>
    <w:lvl w:ilvl="1" w:tplc="4C48ED80">
      <w:numFmt w:val="bullet"/>
      <w:lvlText w:val="•"/>
      <w:lvlJc w:val="left"/>
      <w:pPr>
        <w:ind w:left="1406" w:hanging="161"/>
      </w:pPr>
      <w:rPr>
        <w:rFonts w:ascii="Arial" w:eastAsia="Arial" w:hAnsi="Arial" w:cs="Arial" w:hint="default"/>
        <w:w w:val="142"/>
        <w:sz w:val="22"/>
        <w:szCs w:val="22"/>
        <w:lang w:val="cs-CZ" w:eastAsia="cs-CZ" w:bidi="cs-CZ"/>
      </w:rPr>
    </w:lvl>
    <w:lvl w:ilvl="2" w:tplc="D79C3EC2">
      <w:numFmt w:val="bullet"/>
      <w:lvlText w:val="•"/>
      <w:lvlJc w:val="left"/>
      <w:pPr>
        <w:ind w:left="3293" w:hanging="161"/>
      </w:pPr>
      <w:rPr>
        <w:rFonts w:hint="default"/>
        <w:lang w:val="cs-CZ" w:eastAsia="cs-CZ" w:bidi="cs-CZ"/>
      </w:rPr>
    </w:lvl>
    <w:lvl w:ilvl="3" w:tplc="E1B8EF1E">
      <w:numFmt w:val="bullet"/>
      <w:lvlText w:val="•"/>
      <w:lvlJc w:val="left"/>
      <w:pPr>
        <w:ind w:left="4239" w:hanging="161"/>
      </w:pPr>
      <w:rPr>
        <w:rFonts w:hint="default"/>
        <w:lang w:val="cs-CZ" w:eastAsia="cs-CZ" w:bidi="cs-CZ"/>
      </w:rPr>
    </w:lvl>
    <w:lvl w:ilvl="4" w:tplc="FF8C3008">
      <w:numFmt w:val="bullet"/>
      <w:lvlText w:val="•"/>
      <w:lvlJc w:val="left"/>
      <w:pPr>
        <w:ind w:left="5186" w:hanging="161"/>
      </w:pPr>
      <w:rPr>
        <w:rFonts w:hint="default"/>
        <w:lang w:val="cs-CZ" w:eastAsia="cs-CZ" w:bidi="cs-CZ"/>
      </w:rPr>
    </w:lvl>
    <w:lvl w:ilvl="5" w:tplc="1B1C4C16">
      <w:numFmt w:val="bullet"/>
      <w:lvlText w:val="•"/>
      <w:lvlJc w:val="left"/>
      <w:pPr>
        <w:ind w:left="6133" w:hanging="161"/>
      </w:pPr>
      <w:rPr>
        <w:rFonts w:hint="default"/>
        <w:lang w:val="cs-CZ" w:eastAsia="cs-CZ" w:bidi="cs-CZ"/>
      </w:rPr>
    </w:lvl>
    <w:lvl w:ilvl="6" w:tplc="6AACC882">
      <w:numFmt w:val="bullet"/>
      <w:lvlText w:val="•"/>
      <w:lvlJc w:val="left"/>
      <w:pPr>
        <w:ind w:left="7079" w:hanging="161"/>
      </w:pPr>
      <w:rPr>
        <w:rFonts w:hint="default"/>
        <w:lang w:val="cs-CZ" w:eastAsia="cs-CZ" w:bidi="cs-CZ"/>
      </w:rPr>
    </w:lvl>
    <w:lvl w:ilvl="7" w:tplc="A5902736">
      <w:numFmt w:val="bullet"/>
      <w:lvlText w:val="•"/>
      <w:lvlJc w:val="left"/>
      <w:pPr>
        <w:ind w:left="8026" w:hanging="161"/>
      </w:pPr>
      <w:rPr>
        <w:rFonts w:hint="default"/>
        <w:lang w:val="cs-CZ" w:eastAsia="cs-CZ" w:bidi="cs-CZ"/>
      </w:rPr>
    </w:lvl>
    <w:lvl w:ilvl="8" w:tplc="BFB89410">
      <w:numFmt w:val="bullet"/>
      <w:lvlText w:val="•"/>
      <w:lvlJc w:val="left"/>
      <w:pPr>
        <w:ind w:left="8973" w:hanging="161"/>
      </w:pPr>
      <w:rPr>
        <w:rFonts w:hint="default"/>
        <w:lang w:val="cs-CZ" w:eastAsia="cs-CZ" w:bidi="cs-CZ"/>
      </w:rPr>
    </w:lvl>
  </w:abstractNum>
  <w:abstractNum w:abstractNumId="5" w15:restartNumberingAfterBreak="0">
    <w:nsid w:val="5C212938"/>
    <w:multiLevelType w:val="hybridMultilevel"/>
    <w:tmpl w:val="2E04DE7E"/>
    <w:lvl w:ilvl="0" w:tplc="45566A64">
      <w:start w:val="1"/>
      <w:numFmt w:val="upperLetter"/>
      <w:lvlText w:val="%1)"/>
      <w:lvlJc w:val="left"/>
      <w:pPr>
        <w:ind w:left="1977" w:hanging="732"/>
        <w:jc w:val="left"/>
      </w:pPr>
      <w:rPr>
        <w:rFonts w:ascii="Trebuchet MS" w:eastAsia="Trebuchet MS" w:hAnsi="Trebuchet MS" w:cs="Trebuchet MS" w:hint="default"/>
        <w:b/>
        <w:bCs/>
        <w:w w:val="92"/>
        <w:sz w:val="22"/>
        <w:szCs w:val="22"/>
        <w:lang w:val="cs-CZ" w:eastAsia="cs-CZ" w:bidi="cs-CZ"/>
      </w:rPr>
    </w:lvl>
    <w:lvl w:ilvl="1" w:tplc="EF1A41A8">
      <w:start w:val="1"/>
      <w:numFmt w:val="decimal"/>
      <w:lvlText w:val="%2."/>
      <w:lvlJc w:val="left"/>
      <w:pPr>
        <w:ind w:left="1970" w:hanging="356"/>
        <w:jc w:val="left"/>
      </w:pPr>
      <w:rPr>
        <w:rFonts w:ascii="Arial" w:eastAsia="Arial" w:hAnsi="Arial" w:cs="Arial" w:hint="default"/>
        <w:w w:val="91"/>
        <w:sz w:val="22"/>
        <w:szCs w:val="22"/>
        <w:lang w:val="cs-CZ" w:eastAsia="cs-CZ" w:bidi="cs-CZ"/>
      </w:rPr>
    </w:lvl>
    <w:lvl w:ilvl="2" w:tplc="317E1406">
      <w:numFmt w:val="bullet"/>
      <w:lvlText w:val="•"/>
      <w:lvlJc w:val="left"/>
      <w:pPr>
        <w:ind w:left="3757" w:hanging="356"/>
      </w:pPr>
      <w:rPr>
        <w:rFonts w:hint="default"/>
        <w:lang w:val="cs-CZ" w:eastAsia="cs-CZ" w:bidi="cs-CZ"/>
      </w:rPr>
    </w:lvl>
    <w:lvl w:ilvl="3" w:tplc="83DC02D6">
      <w:numFmt w:val="bullet"/>
      <w:lvlText w:val="•"/>
      <w:lvlJc w:val="left"/>
      <w:pPr>
        <w:ind w:left="4645" w:hanging="356"/>
      </w:pPr>
      <w:rPr>
        <w:rFonts w:hint="default"/>
        <w:lang w:val="cs-CZ" w:eastAsia="cs-CZ" w:bidi="cs-CZ"/>
      </w:rPr>
    </w:lvl>
    <w:lvl w:ilvl="4" w:tplc="2B3E57C0">
      <w:numFmt w:val="bullet"/>
      <w:lvlText w:val="•"/>
      <w:lvlJc w:val="left"/>
      <w:pPr>
        <w:ind w:left="5534" w:hanging="356"/>
      </w:pPr>
      <w:rPr>
        <w:rFonts w:hint="default"/>
        <w:lang w:val="cs-CZ" w:eastAsia="cs-CZ" w:bidi="cs-CZ"/>
      </w:rPr>
    </w:lvl>
    <w:lvl w:ilvl="5" w:tplc="C1206DDA">
      <w:numFmt w:val="bullet"/>
      <w:lvlText w:val="•"/>
      <w:lvlJc w:val="left"/>
      <w:pPr>
        <w:ind w:left="6423" w:hanging="356"/>
      </w:pPr>
      <w:rPr>
        <w:rFonts w:hint="default"/>
        <w:lang w:val="cs-CZ" w:eastAsia="cs-CZ" w:bidi="cs-CZ"/>
      </w:rPr>
    </w:lvl>
    <w:lvl w:ilvl="6" w:tplc="B67E879C">
      <w:numFmt w:val="bullet"/>
      <w:lvlText w:val="•"/>
      <w:lvlJc w:val="left"/>
      <w:pPr>
        <w:ind w:left="7311" w:hanging="356"/>
      </w:pPr>
      <w:rPr>
        <w:rFonts w:hint="default"/>
        <w:lang w:val="cs-CZ" w:eastAsia="cs-CZ" w:bidi="cs-CZ"/>
      </w:rPr>
    </w:lvl>
    <w:lvl w:ilvl="7" w:tplc="F68E55DC">
      <w:numFmt w:val="bullet"/>
      <w:lvlText w:val="•"/>
      <w:lvlJc w:val="left"/>
      <w:pPr>
        <w:ind w:left="8200" w:hanging="356"/>
      </w:pPr>
      <w:rPr>
        <w:rFonts w:hint="default"/>
        <w:lang w:val="cs-CZ" w:eastAsia="cs-CZ" w:bidi="cs-CZ"/>
      </w:rPr>
    </w:lvl>
    <w:lvl w:ilvl="8" w:tplc="6E042E00">
      <w:numFmt w:val="bullet"/>
      <w:lvlText w:val="•"/>
      <w:lvlJc w:val="left"/>
      <w:pPr>
        <w:ind w:left="9089" w:hanging="356"/>
      </w:pPr>
      <w:rPr>
        <w:rFonts w:hint="default"/>
        <w:lang w:val="cs-CZ" w:eastAsia="cs-CZ" w:bidi="cs-CZ"/>
      </w:rPr>
    </w:lvl>
  </w:abstractNum>
  <w:abstractNum w:abstractNumId="6" w15:restartNumberingAfterBreak="0">
    <w:nsid w:val="5D08551B"/>
    <w:multiLevelType w:val="multilevel"/>
    <w:tmpl w:val="3A289D22"/>
    <w:lvl w:ilvl="0">
      <w:start w:val="1"/>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hint="default"/>
        <w:b/>
        <w:bCs/>
        <w:spacing w:val="-2"/>
        <w:w w:val="99"/>
        <w:lang w:val="cs-CZ" w:eastAsia="cs-CZ" w:bidi="cs-CZ"/>
      </w:rPr>
    </w:lvl>
    <w:lvl w:ilvl="2">
      <w:numFmt w:val="bullet"/>
      <w:lvlText w:val="•"/>
      <w:lvlJc w:val="left"/>
      <w:pPr>
        <w:ind w:left="1977" w:hanging="363"/>
      </w:pPr>
      <w:rPr>
        <w:rFonts w:ascii="Arial" w:eastAsia="Arial" w:hAnsi="Arial" w:cs="Arial" w:hint="default"/>
        <w:w w:val="100"/>
        <w:sz w:val="22"/>
        <w:szCs w:val="22"/>
        <w:lang w:val="cs-CZ" w:eastAsia="cs-CZ" w:bidi="cs-CZ"/>
      </w:rPr>
    </w:lvl>
    <w:lvl w:ilvl="3">
      <w:numFmt w:val="bullet"/>
      <w:lvlText w:val="•"/>
      <w:lvlJc w:val="left"/>
      <w:pPr>
        <w:ind w:left="3954" w:hanging="363"/>
      </w:pPr>
      <w:rPr>
        <w:rFonts w:hint="default"/>
        <w:lang w:val="cs-CZ" w:eastAsia="cs-CZ" w:bidi="cs-CZ"/>
      </w:rPr>
    </w:lvl>
    <w:lvl w:ilvl="4">
      <w:numFmt w:val="bullet"/>
      <w:lvlText w:val="•"/>
      <w:lvlJc w:val="left"/>
      <w:pPr>
        <w:ind w:left="4942" w:hanging="363"/>
      </w:pPr>
      <w:rPr>
        <w:rFonts w:hint="default"/>
        <w:lang w:val="cs-CZ" w:eastAsia="cs-CZ" w:bidi="cs-CZ"/>
      </w:rPr>
    </w:lvl>
    <w:lvl w:ilvl="5">
      <w:numFmt w:val="bullet"/>
      <w:lvlText w:val="•"/>
      <w:lvlJc w:val="left"/>
      <w:pPr>
        <w:ind w:left="5929" w:hanging="363"/>
      </w:pPr>
      <w:rPr>
        <w:rFonts w:hint="default"/>
        <w:lang w:val="cs-CZ" w:eastAsia="cs-CZ" w:bidi="cs-CZ"/>
      </w:rPr>
    </w:lvl>
    <w:lvl w:ilvl="6">
      <w:numFmt w:val="bullet"/>
      <w:lvlText w:val="•"/>
      <w:lvlJc w:val="left"/>
      <w:pPr>
        <w:ind w:left="6916" w:hanging="363"/>
      </w:pPr>
      <w:rPr>
        <w:rFonts w:hint="default"/>
        <w:lang w:val="cs-CZ" w:eastAsia="cs-CZ" w:bidi="cs-CZ"/>
      </w:rPr>
    </w:lvl>
    <w:lvl w:ilvl="7">
      <w:numFmt w:val="bullet"/>
      <w:lvlText w:val="•"/>
      <w:lvlJc w:val="left"/>
      <w:pPr>
        <w:ind w:left="7904" w:hanging="363"/>
      </w:pPr>
      <w:rPr>
        <w:rFonts w:hint="default"/>
        <w:lang w:val="cs-CZ" w:eastAsia="cs-CZ" w:bidi="cs-CZ"/>
      </w:rPr>
    </w:lvl>
    <w:lvl w:ilvl="8">
      <w:numFmt w:val="bullet"/>
      <w:lvlText w:val="•"/>
      <w:lvlJc w:val="left"/>
      <w:pPr>
        <w:ind w:left="8891" w:hanging="363"/>
      </w:pPr>
      <w:rPr>
        <w:rFonts w:hint="default"/>
        <w:lang w:val="cs-CZ" w:eastAsia="cs-CZ" w:bidi="cs-CZ"/>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F"/>
    <w:rsid w:val="0002524F"/>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7BBD4-D2A2-40CC-BEFA-E9A2324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02524F"/>
    <w:pPr>
      <w:widowControl w:val="0"/>
      <w:autoSpaceDE w:val="0"/>
      <w:autoSpaceDN w:val="0"/>
      <w:spacing w:after="0" w:line="240" w:lineRule="auto"/>
    </w:pPr>
    <w:rPr>
      <w:rFonts w:ascii="Arial" w:eastAsia="Arial" w:hAnsi="Arial" w:cs="Arial"/>
      <w:lang w:eastAsia="cs-CZ" w:bidi="cs-CZ"/>
    </w:rPr>
  </w:style>
  <w:style w:type="paragraph" w:styleId="Nadpis1">
    <w:name w:val="heading 1"/>
    <w:basedOn w:val="Normln"/>
    <w:link w:val="Nadpis1Char"/>
    <w:uiPriority w:val="1"/>
    <w:qFormat/>
    <w:rsid w:val="0002524F"/>
    <w:pPr>
      <w:ind w:left="1782"/>
      <w:outlineLvl w:val="0"/>
    </w:pPr>
    <w:rPr>
      <w:rFonts w:ascii="Trebuchet MS" w:eastAsia="Trebuchet MS" w:hAnsi="Trebuchet MS" w:cs="Trebuchet MS"/>
      <w:b/>
      <w:bCs/>
      <w:sz w:val="28"/>
      <w:szCs w:val="28"/>
    </w:rPr>
  </w:style>
  <w:style w:type="paragraph" w:styleId="Nadpis2">
    <w:name w:val="heading 2"/>
    <w:basedOn w:val="Normln"/>
    <w:link w:val="Nadpis2Char"/>
    <w:uiPriority w:val="1"/>
    <w:qFormat/>
    <w:rsid w:val="0002524F"/>
    <w:pPr>
      <w:ind w:left="1869" w:hanging="624"/>
      <w:outlineLvl w:val="1"/>
    </w:pPr>
    <w:rPr>
      <w:rFonts w:ascii="Times New Roman" w:eastAsia="Times New Roman" w:hAnsi="Times New Roman" w:cs="Times New Roman"/>
      <w:b/>
      <w:bCs/>
      <w:sz w:val="24"/>
      <w:szCs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24F"/>
    <w:rPr>
      <w:rFonts w:ascii="Trebuchet MS" w:eastAsia="Trebuchet MS" w:hAnsi="Trebuchet MS" w:cs="Trebuchet MS"/>
      <w:b/>
      <w:bCs/>
      <w:sz w:val="28"/>
      <w:szCs w:val="28"/>
      <w:lang w:eastAsia="cs-CZ" w:bidi="cs-CZ"/>
    </w:rPr>
  </w:style>
  <w:style w:type="character" w:customStyle="1" w:styleId="Nadpis2Char">
    <w:name w:val="Nadpis 2 Char"/>
    <w:basedOn w:val="Standardnpsmoodstavce"/>
    <w:link w:val="Nadpis2"/>
    <w:uiPriority w:val="1"/>
    <w:rsid w:val="0002524F"/>
    <w:rPr>
      <w:rFonts w:ascii="Times New Roman" w:eastAsia="Times New Roman" w:hAnsi="Times New Roman" w:cs="Times New Roman"/>
      <w:b/>
      <w:bCs/>
      <w:sz w:val="24"/>
      <w:szCs w:val="24"/>
      <w:u w:val="single" w:color="000000"/>
      <w:lang w:eastAsia="cs-CZ" w:bidi="cs-CZ"/>
    </w:rPr>
  </w:style>
  <w:style w:type="table" w:customStyle="1" w:styleId="TableNormal">
    <w:name w:val="Table Normal"/>
    <w:uiPriority w:val="2"/>
    <w:semiHidden/>
    <w:unhideWhenUsed/>
    <w:qFormat/>
    <w:rsid w:val="00025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02524F"/>
    <w:pPr>
      <w:ind w:left="1252"/>
    </w:pPr>
  </w:style>
  <w:style w:type="character" w:customStyle="1" w:styleId="ZkladntextChar">
    <w:name w:val="Základní text Char"/>
    <w:basedOn w:val="Standardnpsmoodstavce"/>
    <w:link w:val="Zkladntext"/>
    <w:uiPriority w:val="1"/>
    <w:rsid w:val="0002524F"/>
    <w:rPr>
      <w:rFonts w:ascii="Arial" w:eastAsia="Arial" w:hAnsi="Arial" w:cs="Arial"/>
      <w:lang w:eastAsia="cs-CZ" w:bidi="cs-CZ"/>
    </w:rPr>
  </w:style>
  <w:style w:type="paragraph" w:styleId="Odstavecseseznamem">
    <w:name w:val="List Paragraph"/>
    <w:basedOn w:val="Normln"/>
    <w:uiPriority w:val="1"/>
    <w:qFormat/>
    <w:rsid w:val="0002524F"/>
    <w:pPr>
      <w:ind w:left="1869" w:hanging="624"/>
    </w:pPr>
  </w:style>
  <w:style w:type="paragraph" w:customStyle="1" w:styleId="TableParagraph">
    <w:name w:val="Table Paragraph"/>
    <w:basedOn w:val="Normln"/>
    <w:uiPriority w:val="1"/>
    <w:qFormat/>
    <w:rsid w:val="0002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6081</Words>
  <Characters>35878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1</cp:revision>
  <dcterms:created xsi:type="dcterms:W3CDTF">2019-05-10T07:16:00Z</dcterms:created>
  <dcterms:modified xsi:type="dcterms:W3CDTF">2019-05-10T07:18:00Z</dcterms:modified>
</cp:coreProperties>
</file>